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C060" w14:textId="77777777" w:rsidR="005B4ECB" w:rsidRDefault="005B4ECB" w:rsidP="000C5FAB">
      <w:pPr>
        <w:jc w:val="right"/>
        <w:rPr>
          <w:rFonts w:asciiTheme="minorHAnsi" w:hAnsiTheme="minorHAnsi" w:cstheme="minorHAnsi"/>
        </w:rPr>
      </w:pPr>
    </w:p>
    <w:p w14:paraId="17B82D97" w14:textId="77777777" w:rsidR="005B4ECB" w:rsidRDefault="005B4ECB" w:rsidP="000C5FAB">
      <w:pPr>
        <w:jc w:val="right"/>
        <w:rPr>
          <w:rFonts w:asciiTheme="minorHAnsi" w:hAnsiTheme="minorHAnsi" w:cstheme="minorHAnsi"/>
        </w:rPr>
      </w:pPr>
    </w:p>
    <w:p w14:paraId="63A84B9D" w14:textId="77777777" w:rsidR="005B4ECB" w:rsidRDefault="005B4ECB" w:rsidP="000C5FAB">
      <w:pPr>
        <w:jc w:val="right"/>
        <w:rPr>
          <w:rFonts w:asciiTheme="minorHAnsi" w:hAnsiTheme="minorHAnsi" w:cstheme="minorHAnsi"/>
        </w:rPr>
      </w:pPr>
    </w:p>
    <w:p w14:paraId="6AF141B6" w14:textId="0FB9BD85" w:rsidR="000C5FAB" w:rsidRPr="006E42A9" w:rsidRDefault="000C5FAB" w:rsidP="000C5FAB">
      <w:pPr>
        <w:jc w:val="right"/>
        <w:rPr>
          <w:rFonts w:asciiTheme="minorHAnsi" w:hAnsiTheme="minorHAnsi" w:cstheme="minorHAnsi"/>
        </w:rPr>
      </w:pPr>
      <w:r w:rsidRPr="006E42A9">
        <w:rPr>
          <w:rFonts w:asciiTheme="minorHAnsi" w:hAnsiTheme="minorHAnsi" w:cstheme="minorHAnsi"/>
          <w:noProof/>
        </w:rPr>
        <w:drawing>
          <wp:anchor distT="0" distB="0" distL="114300" distR="114300" simplePos="0" relativeHeight="251658240" behindDoc="1" locked="0" layoutInCell="1" allowOverlap="1" wp14:anchorId="61472144" wp14:editId="00D405AC">
            <wp:simplePos x="0" y="0"/>
            <wp:positionH relativeFrom="margin">
              <wp:align>center</wp:align>
            </wp:positionH>
            <wp:positionV relativeFrom="paragraph">
              <wp:posOffset>-267946</wp:posOffset>
            </wp:positionV>
            <wp:extent cx="3636734" cy="990600"/>
            <wp:effectExtent l="0" t="0" r="1905" b="0"/>
            <wp:wrapNone/>
            <wp:docPr id="37" name="Picture 3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rentify logo.jpg"/>
                    <pic:cNvPicPr/>
                  </pic:nvPicPr>
                  <pic:blipFill rotWithShape="1">
                    <a:blip r:embed="rId8"/>
                    <a:srcRect t="12919" r="6463" b="15388"/>
                    <a:stretch/>
                  </pic:blipFill>
                  <pic:spPr bwMode="auto">
                    <a:xfrm>
                      <a:off x="0" y="0"/>
                      <a:ext cx="3636734"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2A9">
        <w:rPr>
          <w:rFonts w:asciiTheme="minorHAnsi" w:hAnsiTheme="minorHAnsi" w:cstheme="minorHAnsi"/>
        </w:rPr>
        <w:t xml:space="preserve"> </w:t>
      </w:r>
    </w:p>
    <w:p w14:paraId="68979589" w14:textId="77777777" w:rsidR="005B4ECB" w:rsidRPr="006E42A9" w:rsidRDefault="005B4ECB" w:rsidP="000C5FAB">
      <w:pPr>
        <w:jc w:val="center"/>
        <w:rPr>
          <w:rFonts w:asciiTheme="minorHAnsi" w:eastAsia="Calibri" w:hAnsiTheme="minorHAnsi" w:cstheme="minorHAnsi"/>
          <w:b/>
          <w:sz w:val="48"/>
          <w:szCs w:val="48"/>
        </w:rPr>
      </w:pPr>
    </w:p>
    <w:p w14:paraId="01B0AA34" w14:textId="77777777" w:rsidR="000C5FAB" w:rsidRPr="006E42A9" w:rsidRDefault="000C5FAB" w:rsidP="000C5FAB">
      <w:pPr>
        <w:jc w:val="center"/>
        <w:rPr>
          <w:rFonts w:asciiTheme="minorHAnsi" w:eastAsia="Calibri" w:hAnsiTheme="minorHAnsi" w:cstheme="minorHAnsi"/>
          <w:b/>
          <w:sz w:val="48"/>
          <w:szCs w:val="48"/>
        </w:rPr>
      </w:pPr>
    </w:p>
    <w:p w14:paraId="717E4B61" w14:textId="77777777" w:rsidR="000C5FAB" w:rsidRPr="006E42A9" w:rsidRDefault="000C5FAB" w:rsidP="000C5FAB">
      <w:pPr>
        <w:rPr>
          <w:rFonts w:asciiTheme="minorHAnsi" w:eastAsia="Calibri" w:hAnsiTheme="minorHAnsi" w:cstheme="minorHAnsi"/>
          <w:b/>
          <w:sz w:val="48"/>
          <w:szCs w:val="48"/>
        </w:rPr>
      </w:pPr>
    </w:p>
    <w:p w14:paraId="151EB4D1" w14:textId="77777777" w:rsidR="000C5FAB" w:rsidRPr="006E42A9" w:rsidRDefault="000C5FAB" w:rsidP="000C5FAB">
      <w:pPr>
        <w:jc w:val="center"/>
        <w:rPr>
          <w:rFonts w:asciiTheme="minorHAnsi" w:eastAsia="Calibri" w:hAnsiTheme="minorHAnsi" w:cstheme="minorHAnsi"/>
          <w:b/>
          <w:sz w:val="48"/>
          <w:szCs w:val="48"/>
        </w:rPr>
      </w:pPr>
    </w:p>
    <w:p w14:paraId="560B619C" w14:textId="33A3F4AE" w:rsidR="000C5FAB" w:rsidRPr="006E42A9" w:rsidRDefault="00B07B3C" w:rsidP="000C5FAB">
      <w:pPr>
        <w:jc w:val="center"/>
        <w:rPr>
          <w:rFonts w:asciiTheme="minorHAnsi" w:eastAsia="Calibri" w:hAnsiTheme="minorHAnsi" w:cstheme="minorHAnsi"/>
          <w:b/>
          <w:sz w:val="48"/>
          <w:szCs w:val="48"/>
        </w:rPr>
      </w:pPr>
      <w:r>
        <w:rPr>
          <w:rFonts w:asciiTheme="minorHAnsi" w:eastAsia="Calibri" w:hAnsiTheme="minorHAnsi" w:cstheme="minorHAnsi"/>
          <w:b/>
          <w:sz w:val="48"/>
          <w:szCs w:val="48"/>
        </w:rPr>
        <w:t>SUBCONTRACTING POLICY</w:t>
      </w:r>
      <w:r w:rsidR="00CE0EB3">
        <w:rPr>
          <w:rFonts w:asciiTheme="minorHAnsi" w:eastAsia="Calibri" w:hAnsiTheme="minorHAnsi" w:cstheme="minorHAnsi"/>
          <w:b/>
          <w:sz w:val="48"/>
          <w:szCs w:val="48"/>
        </w:rPr>
        <w:t xml:space="preserve"> &amp; RATIONALE</w:t>
      </w:r>
    </w:p>
    <w:p w14:paraId="0DAC738B" w14:textId="04F79689" w:rsidR="000C5FAB" w:rsidRPr="006E42A9" w:rsidRDefault="000C5FAB" w:rsidP="000C5FAB">
      <w:pPr>
        <w:jc w:val="center"/>
        <w:rPr>
          <w:rFonts w:asciiTheme="minorHAnsi" w:eastAsia="Calibri" w:hAnsiTheme="minorHAnsi" w:cstheme="minorHAnsi"/>
          <w:b/>
          <w:sz w:val="48"/>
          <w:szCs w:val="48"/>
        </w:rPr>
      </w:pPr>
      <w:r w:rsidRPr="006E42A9">
        <w:rPr>
          <w:rFonts w:asciiTheme="minorHAnsi" w:eastAsia="Calibri" w:hAnsiTheme="minorHAnsi" w:cstheme="minorHAnsi"/>
          <w:b/>
          <w:sz w:val="48"/>
          <w:szCs w:val="48"/>
        </w:rPr>
        <w:t>20</w:t>
      </w:r>
      <w:r w:rsidR="00BC7EED">
        <w:rPr>
          <w:rFonts w:asciiTheme="minorHAnsi" w:eastAsia="Calibri" w:hAnsiTheme="minorHAnsi" w:cstheme="minorHAnsi"/>
          <w:b/>
          <w:sz w:val="48"/>
          <w:szCs w:val="48"/>
        </w:rPr>
        <w:t>2</w:t>
      </w:r>
      <w:r w:rsidR="007C2DEE">
        <w:rPr>
          <w:rFonts w:asciiTheme="minorHAnsi" w:eastAsia="Calibri" w:hAnsiTheme="minorHAnsi" w:cstheme="minorHAnsi"/>
          <w:b/>
          <w:sz w:val="48"/>
          <w:szCs w:val="48"/>
        </w:rPr>
        <w:t>1</w:t>
      </w:r>
      <w:r w:rsidRPr="006E42A9">
        <w:rPr>
          <w:rFonts w:asciiTheme="minorHAnsi" w:eastAsia="Calibri" w:hAnsiTheme="minorHAnsi" w:cstheme="minorHAnsi"/>
          <w:b/>
          <w:sz w:val="48"/>
          <w:szCs w:val="48"/>
        </w:rPr>
        <w:t>-20</w:t>
      </w:r>
      <w:r w:rsidR="008E1A60">
        <w:rPr>
          <w:rFonts w:asciiTheme="minorHAnsi" w:eastAsia="Calibri" w:hAnsiTheme="minorHAnsi" w:cstheme="minorHAnsi"/>
          <w:b/>
          <w:sz w:val="48"/>
          <w:szCs w:val="48"/>
        </w:rPr>
        <w:t>2</w:t>
      </w:r>
      <w:r w:rsidR="007C2DEE">
        <w:rPr>
          <w:rFonts w:asciiTheme="minorHAnsi" w:eastAsia="Calibri" w:hAnsiTheme="minorHAnsi" w:cstheme="minorHAnsi"/>
          <w:b/>
          <w:sz w:val="48"/>
          <w:szCs w:val="48"/>
        </w:rPr>
        <w:t>2</w:t>
      </w:r>
    </w:p>
    <w:p w14:paraId="2BD9551E" w14:textId="77777777" w:rsidR="000C5FAB" w:rsidRPr="006E42A9" w:rsidRDefault="000C5FAB" w:rsidP="000C5FAB">
      <w:pPr>
        <w:jc w:val="center"/>
        <w:rPr>
          <w:rFonts w:asciiTheme="minorHAnsi" w:eastAsia="Calibri" w:hAnsiTheme="minorHAnsi" w:cstheme="minorHAnsi"/>
          <w:b/>
          <w:sz w:val="48"/>
          <w:szCs w:val="48"/>
        </w:rPr>
      </w:pPr>
    </w:p>
    <w:tbl>
      <w:tblPr>
        <w:tblStyle w:val="TableGrid"/>
        <w:tblW w:w="0" w:type="auto"/>
        <w:tblLook w:val="04A0" w:firstRow="1" w:lastRow="0" w:firstColumn="1" w:lastColumn="0" w:noHBand="0" w:noVBand="1"/>
      </w:tblPr>
      <w:tblGrid>
        <w:gridCol w:w="4588"/>
        <w:gridCol w:w="4589"/>
      </w:tblGrid>
      <w:tr w:rsidR="000C5FAB" w:rsidRPr="006E42A9" w14:paraId="48CAFF17" w14:textId="77777777" w:rsidTr="00710EEF">
        <w:tc>
          <w:tcPr>
            <w:tcW w:w="4621" w:type="dxa"/>
            <w:shd w:val="clear" w:color="auto" w:fill="F9D9AB" w:themeFill="accent1" w:themeFillTint="66"/>
          </w:tcPr>
          <w:p w14:paraId="4BA32D86" w14:textId="77777777" w:rsidR="000C5FAB" w:rsidRPr="001A50B2" w:rsidRDefault="000C5FAB" w:rsidP="00710EEF">
            <w:pPr>
              <w:rPr>
                <w:rFonts w:eastAsia="Calibri"/>
              </w:rPr>
            </w:pPr>
            <w:r w:rsidRPr="001A50B2">
              <w:rPr>
                <w:rFonts w:eastAsia="Calibri"/>
              </w:rPr>
              <w:t>Prepared By:</w:t>
            </w:r>
          </w:p>
        </w:tc>
        <w:tc>
          <w:tcPr>
            <w:tcW w:w="4621" w:type="dxa"/>
            <w:shd w:val="clear" w:color="auto" w:fill="F9D9AB" w:themeFill="accent1" w:themeFillTint="66"/>
          </w:tcPr>
          <w:p w14:paraId="4E164E69" w14:textId="77777777" w:rsidR="000C5FAB" w:rsidRPr="001A50B2" w:rsidRDefault="000C5FAB" w:rsidP="00710EEF">
            <w:pPr>
              <w:rPr>
                <w:rFonts w:eastAsia="Calibri"/>
              </w:rPr>
            </w:pPr>
            <w:r w:rsidRPr="001A50B2">
              <w:rPr>
                <w:rFonts w:eastAsia="Calibri"/>
              </w:rPr>
              <w:t xml:space="preserve">Authorised by </w:t>
            </w:r>
          </w:p>
        </w:tc>
      </w:tr>
      <w:tr w:rsidR="000C5FAB" w:rsidRPr="006E42A9" w14:paraId="64389B3A" w14:textId="77777777" w:rsidTr="00710EEF">
        <w:tc>
          <w:tcPr>
            <w:tcW w:w="4621" w:type="dxa"/>
          </w:tcPr>
          <w:p w14:paraId="2EA8F33E" w14:textId="169F93EF" w:rsidR="000C5FAB" w:rsidRPr="001A50B2" w:rsidRDefault="001A50B2" w:rsidP="00710EEF">
            <w:pPr>
              <w:rPr>
                <w:rFonts w:eastAsia="Calibri"/>
              </w:rPr>
            </w:pPr>
            <w:r>
              <w:t>AQIB HUSSAIN</w:t>
            </w:r>
          </w:p>
        </w:tc>
        <w:tc>
          <w:tcPr>
            <w:tcW w:w="4621" w:type="dxa"/>
          </w:tcPr>
          <w:p w14:paraId="22885BDB" w14:textId="0FDC34CA" w:rsidR="000C5FAB" w:rsidRPr="001A50B2" w:rsidRDefault="000E7839" w:rsidP="00710EEF">
            <w:pPr>
              <w:rPr>
                <w:rFonts w:eastAsia="Calibri"/>
              </w:rPr>
            </w:pPr>
            <w:r>
              <w:rPr>
                <w:rFonts w:eastAsia="Calibri"/>
              </w:rPr>
              <w:t>PAUL DREW</w:t>
            </w:r>
          </w:p>
        </w:tc>
      </w:tr>
      <w:tr w:rsidR="000C5FAB" w:rsidRPr="006E42A9" w14:paraId="2AF83B3E" w14:textId="77777777" w:rsidTr="00710EEF">
        <w:tc>
          <w:tcPr>
            <w:tcW w:w="4621" w:type="dxa"/>
            <w:shd w:val="clear" w:color="auto" w:fill="F9D9AB" w:themeFill="accent1" w:themeFillTint="66"/>
          </w:tcPr>
          <w:p w14:paraId="6AA7E286" w14:textId="77777777" w:rsidR="000C5FAB" w:rsidRPr="001A50B2" w:rsidRDefault="000C5FAB" w:rsidP="00710EEF">
            <w:pPr>
              <w:rPr>
                <w:rFonts w:eastAsia="Calibri"/>
              </w:rPr>
            </w:pPr>
            <w:r w:rsidRPr="001A50B2">
              <w:rPr>
                <w:rFonts w:eastAsia="Calibri"/>
              </w:rPr>
              <w:t xml:space="preserve">Date Sanctioned </w:t>
            </w:r>
          </w:p>
        </w:tc>
        <w:tc>
          <w:tcPr>
            <w:tcW w:w="4621" w:type="dxa"/>
            <w:shd w:val="clear" w:color="auto" w:fill="F9D9AB" w:themeFill="accent1" w:themeFillTint="66"/>
          </w:tcPr>
          <w:p w14:paraId="45AA2272" w14:textId="14997E29" w:rsidR="000C5FAB" w:rsidRPr="001A50B2" w:rsidRDefault="00490ADF" w:rsidP="00710EEF">
            <w:pPr>
              <w:rPr>
                <w:rFonts w:eastAsia="Calibri"/>
              </w:rPr>
            </w:pPr>
            <w:r>
              <w:rPr>
                <w:rFonts w:eastAsia="Calibri"/>
              </w:rPr>
              <w:t>AUGUST 202</w:t>
            </w:r>
            <w:r w:rsidR="0060535C">
              <w:rPr>
                <w:rFonts w:eastAsia="Calibri"/>
              </w:rPr>
              <w:t>1</w:t>
            </w:r>
          </w:p>
        </w:tc>
      </w:tr>
      <w:tr w:rsidR="000C5FAB" w:rsidRPr="006E42A9" w14:paraId="23A3F1C4" w14:textId="77777777" w:rsidTr="00710EEF">
        <w:tc>
          <w:tcPr>
            <w:tcW w:w="4621" w:type="dxa"/>
            <w:shd w:val="clear" w:color="auto" w:fill="F9D9AB" w:themeFill="accent1" w:themeFillTint="66"/>
          </w:tcPr>
          <w:p w14:paraId="10058C79" w14:textId="77777777" w:rsidR="000C5FAB" w:rsidRPr="001A50B2" w:rsidRDefault="000C5FAB" w:rsidP="00710EEF">
            <w:pPr>
              <w:rPr>
                <w:rFonts w:eastAsia="Calibri"/>
              </w:rPr>
            </w:pPr>
            <w:r w:rsidRPr="001A50B2">
              <w:rPr>
                <w:rFonts w:eastAsia="Calibri"/>
              </w:rPr>
              <w:t xml:space="preserve">SIGNATURE/S: </w:t>
            </w:r>
          </w:p>
        </w:tc>
        <w:tc>
          <w:tcPr>
            <w:tcW w:w="4621" w:type="dxa"/>
          </w:tcPr>
          <w:p w14:paraId="3FEAB45B" w14:textId="71755ACD" w:rsidR="000C5FAB" w:rsidRDefault="005C219E" w:rsidP="00710EEF">
            <w:pPr>
              <w:rPr>
                <w:rFonts w:eastAsia="Calibri"/>
              </w:rPr>
            </w:pPr>
            <w:r>
              <w:rPr>
                <w:rFonts w:eastAsia="Calibri"/>
                <w:noProof/>
              </w:rPr>
              <w:drawing>
                <wp:inline distT="0" distB="0" distL="0" distR="0" wp14:anchorId="515DED52" wp14:editId="1B664E63">
                  <wp:extent cx="1005840" cy="403736"/>
                  <wp:effectExtent l="0" t="0" r="3810" b="0"/>
                  <wp:docPr id="5" name="Picture 5" descr="Graffiti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 A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605" cy="412874"/>
                          </a:xfrm>
                          <a:prstGeom prst="rect">
                            <a:avLst/>
                          </a:prstGeom>
                        </pic:spPr>
                      </pic:pic>
                    </a:graphicData>
                  </a:graphic>
                </wp:inline>
              </w:drawing>
            </w:r>
            <w:r w:rsidR="005A57A0">
              <w:rPr>
                <w:rFonts w:eastAsia="Calibri"/>
                <w:noProof/>
              </w:rPr>
              <w:drawing>
                <wp:inline distT="0" distB="0" distL="0" distR="0" wp14:anchorId="3E296056" wp14:editId="10538181">
                  <wp:extent cx="685800" cy="385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l Signature PD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89" cy="401868"/>
                          </a:xfrm>
                          <a:prstGeom prst="rect">
                            <a:avLst/>
                          </a:prstGeom>
                        </pic:spPr>
                      </pic:pic>
                    </a:graphicData>
                  </a:graphic>
                </wp:inline>
              </w:drawing>
            </w:r>
          </w:p>
          <w:p w14:paraId="7354CA46" w14:textId="16E0D872" w:rsidR="001A50B2" w:rsidRDefault="001A50B2" w:rsidP="00710EEF">
            <w:pPr>
              <w:rPr>
                <w:rFonts w:eastAsia="Calibri"/>
              </w:rPr>
            </w:pPr>
          </w:p>
          <w:p w14:paraId="4ADC3EF1" w14:textId="77777777" w:rsidR="001A50B2" w:rsidRPr="001A50B2" w:rsidRDefault="001A50B2" w:rsidP="00710EEF">
            <w:pPr>
              <w:rPr>
                <w:rFonts w:eastAsia="Calibri"/>
              </w:rPr>
            </w:pPr>
          </w:p>
          <w:p w14:paraId="2A15DBF4" w14:textId="77777777" w:rsidR="000C5FAB" w:rsidRPr="001A50B2" w:rsidRDefault="000C5FAB" w:rsidP="00710EEF">
            <w:pPr>
              <w:rPr>
                <w:rFonts w:eastAsia="Calibri"/>
              </w:rPr>
            </w:pPr>
          </w:p>
        </w:tc>
      </w:tr>
    </w:tbl>
    <w:p w14:paraId="637EA2AD" w14:textId="77777777" w:rsidR="000C5FAB" w:rsidRPr="006E42A9" w:rsidRDefault="000C5FAB" w:rsidP="000C5FAB">
      <w:pPr>
        <w:rPr>
          <w:rFonts w:asciiTheme="minorHAnsi" w:eastAsia="Calibri" w:hAnsiTheme="minorHAnsi" w:cstheme="minorHAnsi"/>
          <w:b/>
          <w:sz w:val="48"/>
          <w:szCs w:val="48"/>
        </w:rPr>
      </w:pPr>
    </w:p>
    <w:p w14:paraId="0C33A2B7" w14:textId="1E854833" w:rsidR="000C5FAB" w:rsidRDefault="000C5FAB" w:rsidP="000C5FAB">
      <w:pPr>
        <w:rPr>
          <w:rFonts w:asciiTheme="minorHAnsi" w:eastAsia="Calibri" w:hAnsiTheme="minorHAnsi" w:cstheme="minorHAnsi"/>
          <w:b/>
          <w:sz w:val="48"/>
          <w:szCs w:val="48"/>
        </w:rPr>
      </w:pPr>
      <w:r w:rsidRPr="006E42A9">
        <w:rPr>
          <w:rFonts w:asciiTheme="minorHAnsi" w:eastAsia="Calibri" w:hAnsiTheme="minorHAnsi" w:cstheme="minorHAnsi"/>
          <w:b/>
          <w:sz w:val="48"/>
          <w:szCs w:val="48"/>
        </w:rPr>
        <w:t>Board Signatures</w:t>
      </w:r>
    </w:p>
    <w:p w14:paraId="7A2F950E" w14:textId="51260D1F" w:rsidR="005C1DC7" w:rsidRDefault="005C1DC7" w:rsidP="000C5FAB">
      <w:pPr>
        <w:rPr>
          <w:rFonts w:asciiTheme="minorHAnsi" w:eastAsia="Calibri" w:hAnsiTheme="minorHAnsi" w:cstheme="minorHAnsi"/>
          <w:b/>
          <w:sz w:val="48"/>
          <w:szCs w:val="48"/>
        </w:rPr>
      </w:pPr>
    </w:p>
    <w:p w14:paraId="3BD248F6" w14:textId="548D85B0" w:rsidR="005B4ECB" w:rsidRPr="006E42A9" w:rsidRDefault="005B4ECB" w:rsidP="000C5FAB">
      <w:pPr>
        <w:rPr>
          <w:rFonts w:asciiTheme="minorHAnsi" w:eastAsia="Calibri" w:hAnsiTheme="minorHAnsi" w:cstheme="minorHAnsi"/>
          <w:b/>
          <w:sz w:val="48"/>
          <w:szCs w:val="48"/>
        </w:rPr>
      </w:pPr>
      <w:r>
        <w:rPr>
          <w:rFonts w:asciiTheme="minorHAnsi" w:eastAsia="Calibri" w:hAnsiTheme="minorHAnsi" w:cstheme="minorHAnsi"/>
          <w:b/>
          <w:noProof/>
          <w:sz w:val="48"/>
          <w:szCs w:val="48"/>
        </w:rPr>
        <w:drawing>
          <wp:inline distT="0" distB="0" distL="0" distR="0" wp14:anchorId="189D21BC" wp14:editId="60FAF67B">
            <wp:extent cx="1571318"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tal Signature P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2323" cy="890111"/>
                    </a:xfrm>
                    <a:prstGeom prst="rect">
                      <a:avLst/>
                    </a:prstGeom>
                  </pic:spPr>
                </pic:pic>
              </a:graphicData>
            </a:graphic>
          </wp:inline>
        </w:drawing>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noProof/>
          <w:sz w:val="48"/>
          <w:szCs w:val="48"/>
        </w:rPr>
        <w:drawing>
          <wp:inline distT="0" distB="0" distL="0" distR="0" wp14:anchorId="625AD340" wp14:editId="2018333E">
            <wp:extent cx="1605914" cy="822436"/>
            <wp:effectExtent l="0" t="0" r="0"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626775" cy="833120"/>
                    </a:xfrm>
                    <a:prstGeom prst="rect">
                      <a:avLst/>
                    </a:prstGeom>
                  </pic:spPr>
                </pic:pic>
              </a:graphicData>
            </a:graphic>
          </wp:inline>
        </w:drawing>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Pr>
          <w:rFonts w:asciiTheme="minorHAnsi" w:eastAsia="Calibri" w:hAnsiTheme="minorHAnsi" w:cstheme="minorHAnsi"/>
          <w:b/>
          <w:sz w:val="48"/>
          <w:szCs w:val="48"/>
        </w:rPr>
        <w:tab/>
      </w:r>
    </w:p>
    <w:p w14:paraId="11F4138F" w14:textId="77777777" w:rsidR="00C92E5B" w:rsidRDefault="005C1DC7" w:rsidP="005C219E">
      <w:pPr>
        <w:rPr>
          <w:rFonts w:eastAsia="Calibri"/>
          <w:b/>
          <w:sz w:val="48"/>
          <w:szCs w:val="48"/>
          <w:lang w:eastAsia="ja-JP"/>
        </w:rPr>
      </w:pP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p>
    <w:p w14:paraId="27ECA894" w14:textId="375F75FA" w:rsidR="005C219E" w:rsidRPr="00C92E5B" w:rsidRDefault="00C92E5B" w:rsidP="005C219E">
      <w:pPr>
        <w:rPr>
          <w:rFonts w:eastAsia="Calibri"/>
          <w:b/>
          <w:sz w:val="48"/>
          <w:szCs w:val="48"/>
          <w:lang w:eastAsia="ja-JP"/>
        </w:rPr>
      </w:pPr>
      <w:r>
        <w:t xml:space="preserve">          </w:t>
      </w:r>
      <w:r w:rsidR="001A50B2">
        <w:t>PAUL DREW</w:t>
      </w:r>
      <w:r w:rsidR="005C1DC7">
        <w:tab/>
      </w:r>
      <w:r w:rsidR="005C1DC7">
        <w:tab/>
      </w:r>
      <w:r w:rsidR="005C1DC7">
        <w:tab/>
      </w:r>
      <w:r w:rsidR="005C1DC7">
        <w:tab/>
      </w:r>
      <w:r>
        <w:tab/>
      </w:r>
      <w:r>
        <w:tab/>
      </w:r>
      <w:r>
        <w:tab/>
        <w:t>GERWYN HOUSE</w:t>
      </w:r>
      <w:r w:rsidR="005C1DC7">
        <w:tab/>
      </w:r>
      <w:r w:rsidR="005C1DC7">
        <w:tab/>
      </w:r>
      <w:r w:rsidR="005C1DC7">
        <w:tab/>
      </w:r>
    </w:p>
    <w:p w14:paraId="1FA66346" w14:textId="3D0BEC8A" w:rsidR="005C1DC7" w:rsidRDefault="005C1DC7" w:rsidP="005C1DC7">
      <w:pPr>
        <w:rPr>
          <w:rFonts w:eastAsiaTheme="minorEastAsia"/>
          <w:sz w:val="20"/>
          <w:szCs w:val="20"/>
        </w:rPr>
      </w:pPr>
    </w:p>
    <w:p w14:paraId="7D18056B" w14:textId="77777777" w:rsidR="000C5FAB" w:rsidRPr="006E42A9" w:rsidRDefault="000C5FAB" w:rsidP="000C5FAB">
      <w:pPr>
        <w:rPr>
          <w:rFonts w:asciiTheme="minorHAnsi" w:hAnsiTheme="minorHAnsi" w:cstheme="minorHAnsi"/>
        </w:rPr>
      </w:pP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p>
    <w:p w14:paraId="6F4C3ECF" w14:textId="00A4E009" w:rsidR="00041B1C" w:rsidRDefault="00041B1C" w:rsidP="000E7839">
      <w:pPr>
        <w:pStyle w:val="NoSpacing"/>
        <w:rPr>
          <w:sz w:val="22"/>
          <w:szCs w:val="22"/>
        </w:rPr>
      </w:pPr>
      <w:bookmarkStart w:id="0" w:name="_Toc414362207"/>
      <w:bookmarkStart w:id="1" w:name="_Toc35763738"/>
      <w:bookmarkStart w:id="2" w:name="_Toc476661049"/>
    </w:p>
    <w:p w14:paraId="50337C54" w14:textId="60B330BD" w:rsidR="00C92E5B" w:rsidRDefault="00C92E5B" w:rsidP="000E7839">
      <w:pPr>
        <w:pStyle w:val="NoSpacing"/>
        <w:rPr>
          <w:sz w:val="22"/>
          <w:szCs w:val="22"/>
        </w:rPr>
      </w:pPr>
    </w:p>
    <w:p w14:paraId="5561AFD4" w14:textId="77777777" w:rsidR="00C92E5B" w:rsidRDefault="00C92E5B" w:rsidP="000E7839">
      <w:pPr>
        <w:pStyle w:val="NoSpacing"/>
        <w:rPr>
          <w:sz w:val="22"/>
          <w:szCs w:val="22"/>
        </w:rPr>
      </w:pPr>
    </w:p>
    <w:p w14:paraId="5298D9DC" w14:textId="55B56102" w:rsidR="000E7839" w:rsidRPr="000E7839" w:rsidRDefault="000E7839" w:rsidP="000E7839">
      <w:pPr>
        <w:rPr>
          <w:color w:val="F0A22E" w:themeColor="accent1"/>
          <w:sz w:val="32"/>
          <w:szCs w:val="32"/>
        </w:rPr>
      </w:pPr>
      <w:r w:rsidRPr="000E7839">
        <w:rPr>
          <w:color w:val="F0A22E" w:themeColor="accent1"/>
          <w:sz w:val="32"/>
          <w:szCs w:val="32"/>
        </w:rPr>
        <w:lastRenderedPageBreak/>
        <w:t>Purpose</w:t>
      </w:r>
    </w:p>
    <w:p w14:paraId="2A57636B" w14:textId="77777777" w:rsidR="000E7839" w:rsidRPr="00E13FFB" w:rsidRDefault="000E7839" w:rsidP="000E7839"/>
    <w:p w14:paraId="4CEA9E12" w14:textId="12BF9563" w:rsidR="000E7839" w:rsidRPr="00D95625" w:rsidRDefault="000E7839" w:rsidP="000E7839">
      <w:pPr>
        <w:rPr>
          <w:spacing w:val="11"/>
          <w:sz w:val="22"/>
          <w:szCs w:val="22"/>
          <w:shd w:val="clear" w:color="auto" w:fill="FFFFFF"/>
        </w:rPr>
      </w:pPr>
      <w:r w:rsidRPr="00D95625">
        <w:rPr>
          <w:sz w:val="22"/>
          <w:szCs w:val="22"/>
        </w:rPr>
        <w:t>This policy sets out how Apprentify</w:t>
      </w:r>
      <w:r w:rsidR="00AF505E" w:rsidRPr="00D95625">
        <w:rPr>
          <w:sz w:val="22"/>
          <w:szCs w:val="22"/>
        </w:rPr>
        <w:t xml:space="preserve"> will</w:t>
      </w:r>
      <w:r w:rsidRPr="00D95625">
        <w:rPr>
          <w:sz w:val="22"/>
          <w:szCs w:val="22"/>
        </w:rPr>
        <w:t xml:space="preserve"> comply with the ESFA rules in respect of subcontracted provision. Apprentify</w:t>
      </w:r>
      <w:r w:rsidRPr="00D95625">
        <w:rPr>
          <w:color w:val="868686"/>
          <w:spacing w:val="11"/>
          <w:sz w:val="22"/>
          <w:szCs w:val="22"/>
          <w:shd w:val="clear" w:color="auto" w:fill="FFFFFF"/>
        </w:rPr>
        <w:t> </w:t>
      </w:r>
      <w:r w:rsidRPr="00D95625">
        <w:rPr>
          <w:spacing w:val="11"/>
          <w:sz w:val="22"/>
          <w:szCs w:val="22"/>
          <w:shd w:val="clear" w:color="auto" w:fill="FFFFFF"/>
        </w:rPr>
        <w:t>is committed to broadening the scope of provision to meet market demand</w:t>
      </w:r>
      <w:r w:rsidR="001F5C9C">
        <w:rPr>
          <w:spacing w:val="11"/>
          <w:sz w:val="22"/>
          <w:szCs w:val="22"/>
          <w:shd w:val="clear" w:color="auto" w:fill="FFFFFF"/>
        </w:rPr>
        <w:t xml:space="preserve">, </w:t>
      </w:r>
      <w:r w:rsidRPr="00D95625">
        <w:rPr>
          <w:spacing w:val="11"/>
          <w:sz w:val="22"/>
          <w:szCs w:val="22"/>
          <w:shd w:val="clear" w:color="auto" w:fill="FFFFFF"/>
        </w:rPr>
        <w:t xml:space="preserve">enhance and enrich the experiences of our learners. </w:t>
      </w:r>
      <w:r w:rsidR="00490ADF" w:rsidRPr="00D95625">
        <w:rPr>
          <w:spacing w:val="11"/>
          <w:sz w:val="22"/>
          <w:szCs w:val="22"/>
          <w:shd w:val="clear" w:color="auto" w:fill="FFFFFF"/>
        </w:rPr>
        <w:t>To</w:t>
      </w:r>
      <w:r w:rsidRPr="00D95625">
        <w:rPr>
          <w:spacing w:val="11"/>
          <w:sz w:val="22"/>
          <w:szCs w:val="22"/>
          <w:shd w:val="clear" w:color="auto" w:fill="FFFFFF"/>
        </w:rPr>
        <w:t xml:space="preserve"> enable this vision, Apprentify has taken the strategic decision to subcontract part of its provision to high quality partner providers.</w:t>
      </w:r>
    </w:p>
    <w:p w14:paraId="5FBEE783" w14:textId="77777777" w:rsidR="000E7839" w:rsidRPr="00D95625" w:rsidRDefault="000E7839" w:rsidP="000E7839">
      <w:pPr>
        <w:rPr>
          <w:spacing w:val="11"/>
          <w:sz w:val="22"/>
          <w:szCs w:val="22"/>
          <w:shd w:val="clear" w:color="auto" w:fill="FFFFFF"/>
        </w:rPr>
      </w:pPr>
    </w:p>
    <w:p w14:paraId="07211F5D" w14:textId="4E9277DD" w:rsidR="000E7839" w:rsidRPr="00D95625" w:rsidRDefault="000E7839" w:rsidP="000E7839">
      <w:pPr>
        <w:rPr>
          <w:spacing w:val="11"/>
          <w:sz w:val="22"/>
          <w:szCs w:val="22"/>
          <w:shd w:val="clear" w:color="auto" w:fill="FFFFFF"/>
        </w:rPr>
      </w:pPr>
      <w:r w:rsidRPr="00D95625">
        <w:rPr>
          <w:spacing w:val="11"/>
          <w:sz w:val="22"/>
          <w:szCs w:val="22"/>
          <w:shd w:val="clear" w:color="auto" w:fill="FFFFFF"/>
        </w:rPr>
        <w:t xml:space="preserve">Apprentify retains full accountability for contract delivery where provision and service subcontracting </w:t>
      </w:r>
      <w:r w:rsidR="005A57A0" w:rsidRPr="00D95625">
        <w:rPr>
          <w:spacing w:val="11"/>
          <w:sz w:val="22"/>
          <w:szCs w:val="22"/>
          <w:shd w:val="clear" w:color="auto" w:fill="FFFFFF"/>
        </w:rPr>
        <w:t>take</w:t>
      </w:r>
      <w:r w:rsidRPr="00D95625">
        <w:rPr>
          <w:spacing w:val="11"/>
          <w:sz w:val="22"/>
          <w:szCs w:val="22"/>
          <w:shd w:val="clear" w:color="auto" w:fill="FFFFFF"/>
        </w:rPr>
        <w:t xml:space="preserve"> place. </w:t>
      </w:r>
      <w:r w:rsidR="00003E99" w:rsidRPr="00D95625">
        <w:rPr>
          <w:spacing w:val="11"/>
          <w:sz w:val="22"/>
          <w:szCs w:val="22"/>
          <w:shd w:val="clear" w:color="auto" w:fill="FFFFFF"/>
        </w:rPr>
        <w:t>All providers, before becoming a sub-contractor must undergo a comprehensive due diligence process prior to any delivery taking place and are selected on the basis of their track record, type of provision delivered, location and to ensure Apprentify can effectively respond to employer demand whilst reflecting</w:t>
      </w:r>
      <w:r w:rsidR="00DF4278" w:rsidRPr="00D95625">
        <w:rPr>
          <w:spacing w:val="11"/>
          <w:sz w:val="22"/>
          <w:szCs w:val="22"/>
          <w:shd w:val="clear" w:color="auto" w:fill="FFFFFF"/>
        </w:rPr>
        <w:t xml:space="preserve"> on</w:t>
      </w:r>
      <w:r w:rsidR="00003E99" w:rsidRPr="00D95625">
        <w:rPr>
          <w:spacing w:val="11"/>
          <w:sz w:val="22"/>
          <w:szCs w:val="22"/>
          <w:shd w:val="clear" w:color="auto" w:fill="FFFFFF"/>
        </w:rPr>
        <w:t xml:space="preserve"> local priorities. Once sub-contractual arrangements have been agreed a service level agreement is signed by both parties. </w:t>
      </w:r>
    </w:p>
    <w:p w14:paraId="4EC249B4" w14:textId="0E92656C" w:rsidR="005854B0" w:rsidRDefault="005854B0" w:rsidP="000E7839">
      <w:pPr>
        <w:rPr>
          <w:spacing w:val="11"/>
          <w:sz w:val="22"/>
          <w:szCs w:val="22"/>
          <w:shd w:val="clear" w:color="auto" w:fill="FFFFFF"/>
        </w:rPr>
      </w:pPr>
    </w:p>
    <w:p w14:paraId="21498A59" w14:textId="05042CCC" w:rsidR="005854B0" w:rsidRPr="005854B0" w:rsidRDefault="005854B0" w:rsidP="000E7839">
      <w:pPr>
        <w:rPr>
          <w:color w:val="F0A22E" w:themeColor="accent1"/>
          <w:spacing w:val="11"/>
          <w:sz w:val="32"/>
          <w:szCs w:val="32"/>
          <w:shd w:val="clear" w:color="auto" w:fill="FFFFFF"/>
        </w:rPr>
      </w:pPr>
      <w:r w:rsidRPr="005854B0">
        <w:rPr>
          <w:color w:val="F0A22E" w:themeColor="accent1"/>
          <w:spacing w:val="11"/>
          <w:sz w:val="32"/>
          <w:szCs w:val="32"/>
          <w:shd w:val="clear" w:color="auto" w:fill="FFFFFF"/>
        </w:rPr>
        <w:t>Rationale</w:t>
      </w:r>
    </w:p>
    <w:p w14:paraId="0C3739DF" w14:textId="3DB3D67C" w:rsidR="005854B0" w:rsidRDefault="005854B0" w:rsidP="000E7839">
      <w:pPr>
        <w:rPr>
          <w:spacing w:val="11"/>
          <w:sz w:val="22"/>
          <w:szCs w:val="22"/>
          <w:shd w:val="clear" w:color="auto" w:fill="FFFFFF"/>
        </w:rPr>
      </w:pPr>
    </w:p>
    <w:p w14:paraId="37382EE9" w14:textId="451D5FD2" w:rsidR="005854B0" w:rsidRDefault="005854B0" w:rsidP="000E7839">
      <w:pPr>
        <w:rPr>
          <w:spacing w:val="11"/>
          <w:sz w:val="22"/>
          <w:szCs w:val="22"/>
          <w:shd w:val="clear" w:color="auto" w:fill="FFFFFF"/>
        </w:rPr>
      </w:pPr>
      <w:r>
        <w:rPr>
          <w:spacing w:val="11"/>
          <w:sz w:val="22"/>
          <w:szCs w:val="22"/>
          <w:shd w:val="clear" w:color="auto" w:fill="FFFFFF"/>
        </w:rPr>
        <w:t>Apprentify aims to support employers to engage and develop their staff and enable individuals to achieve their full potential.</w:t>
      </w:r>
    </w:p>
    <w:p w14:paraId="27D5E900" w14:textId="545864EA" w:rsidR="005854B0" w:rsidRDefault="005854B0" w:rsidP="000E7839">
      <w:pPr>
        <w:rPr>
          <w:spacing w:val="11"/>
          <w:sz w:val="22"/>
          <w:szCs w:val="22"/>
          <w:shd w:val="clear" w:color="auto" w:fill="FFFFFF"/>
        </w:rPr>
      </w:pPr>
    </w:p>
    <w:p w14:paraId="5E243C86" w14:textId="0803E576" w:rsidR="005854B0" w:rsidRDefault="005854B0" w:rsidP="000E7839">
      <w:pPr>
        <w:rPr>
          <w:spacing w:val="11"/>
          <w:sz w:val="22"/>
          <w:szCs w:val="22"/>
          <w:shd w:val="clear" w:color="auto" w:fill="FFFFFF"/>
        </w:rPr>
      </w:pPr>
      <w:r>
        <w:rPr>
          <w:spacing w:val="11"/>
          <w:sz w:val="22"/>
          <w:szCs w:val="22"/>
          <w:shd w:val="clear" w:color="auto" w:fill="FFFFFF"/>
        </w:rPr>
        <w:t>Apprentify will always take responsibility of the Employer Agreement and Commitment Statement for all our apprenticeship learners</w:t>
      </w:r>
      <w:r w:rsidR="00FE5987">
        <w:rPr>
          <w:spacing w:val="11"/>
          <w:sz w:val="22"/>
          <w:szCs w:val="22"/>
          <w:shd w:val="clear" w:color="auto" w:fill="FFFFFF"/>
        </w:rPr>
        <w:t>. S</w:t>
      </w:r>
      <w:r>
        <w:rPr>
          <w:spacing w:val="11"/>
          <w:sz w:val="22"/>
          <w:szCs w:val="22"/>
          <w:shd w:val="clear" w:color="auto" w:fill="FFFFFF"/>
        </w:rPr>
        <w:t>ubcontracting will only be used to deliver part of the apprenticeship programme.</w:t>
      </w:r>
    </w:p>
    <w:p w14:paraId="589CB707" w14:textId="0F26637C" w:rsidR="005854B0" w:rsidRDefault="005854B0" w:rsidP="000E7839">
      <w:pPr>
        <w:rPr>
          <w:spacing w:val="11"/>
          <w:sz w:val="22"/>
          <w:szCs w:val="22"/>
          <w:shd w:val="clear" w:color="auto" w:fill="FFFFFF"/>
        </w:rPr>
      </w:pPr>
    </w:p>
    <w:p w14:paraId="4EC33AA7" w14:textId="6BB24EC7" w:rsidR="005854B0" w:rsidRDefault="005854B0" w:rsidP="000E7839">
      <w:pPr>
        <w:rPr>
          <w:spacing w:val="11"/>
          <w:sz w:val="22"/>
          <w:szCs w:val="22"/>
          <w:shd w:val="clear" w:color="auto" w:fill="FFFFFF"/>
        </w:rPr>
      </w:pPr>
      <w:r>
        <w:rPr>
          <w:spacing w:val="11"/>
          <w:sz w:val="22"/>
          <w:szCs w:val="22"/>
          <w:shd w:val="clear" w:color="auto" w:fill="FFFFFF"/>
        </w:rPr>
        <w:t xml:space="preserve">To meet these aims we may need to procure the provision or specialist service in from a subcontractor </w:t>
      </w:r>
      <w:r w:rsidR="00490ADF">
        <w:rPr>
          <w:spacing w:val="11"/>
          <w:sz w:val="22"/>
          <w:szCs w:val="22"/>
          <w:shd w:val="clear" w:color="auto" w:fill="FFFFFF"/>
        </w:rPr>
        <w:t>to</w:t>
      </w:r>
      <w:r>
        <w:rPr>
          <w:spacing w:val="11"/>
          <w:sz w:val="22"/>
          <w:szCs w:val="22"/>
          <w:shd w:val="clear" w:color="auto" w:fill="FFFFFF"/>
        </w:rPr>
        <w:t xml:space="preserve"> enhance the quality or scope of the offer we provide</w:t>
      </w:r>
      <w:r w:rsidR="00FE5987">
        <w:rPr>
          <w:spacing w:val="11"/>
          <w:sz w:val="22"/>
          <w:szCs w:val="22"/>
          <w:shd w:val="clear" w:color="auto" w:fill="FFFFFF"/>
        </w:rPr>
        <w:t>.</w:t>
      </w:r>
    </w:p>
    <w:p w14:paraId="7FDECA34" w14:textId="2429FA5B" w:rsidR="00E70B03" w:rsidRPr="00E70B03" w:rsidRDefault="005854B0" w:rsidP="002B4744">
      <w:pPr>
        <w:pStyle w:val="NoSpacing"/>
        <w:numPr>
          <w:ilvl w:val="0"/>
          <w:numId w:val="8"/>
        </w:numPr>
        <w:rPr>
          <w:sz w:val="22"/>
          <w:szCs w:val="22"/>
          <w:shd w:val="clear" w:color="auto" w:fill="FFFFFF"/>
        </w:rPr>
      </w:pPr>
      <w:r w:rsidRPr="00E70B03">
        <w:rPr>
          <w:sz w:val="22"/>
          <w:szCs w:val="22"/>
          <w:shd w:val="clear" w:color="auto" w:fill="FFFFFF"/>
        </w:rPr>
        <w:t>To continuously improve the standard of delivery to customers by sharing best practice with other providers to improve quality.</w:t>
      </w:r>
    </w:p>
    <w:p w14:paraId="18D94F82" w14:textId="150FF4F7" w:rsidR="005854B0" w:rsidRPr="00E70B03" w:rsidRDefault="005854B0" w:rsidP="002B4744">
      <w:pPr>
        <w:pStyle w:val="NoSpacing"/>
        <w:numPr>
          <w:ilvl w:val="0"/>
          <w:numId w:val="8"/>
        </w:numPr>
        <w:rPr>
          <w:rFonts w:asciiTheme="minorHAnsi" w:hAnsiTheme="minorHAnsi" w:cstheme="minorHAnsi"/>
          <w:sz w:val="22"/>
          <w:szCs w:val="22"/>
          <w:shd w:val="clear" w:color="auto" w:fill="FFFFFF"/>
        </w:rPr>
      </w:pPr>
      <w:r w:rsidRPr="00E70B03">
        <w:rPr>
          <w:sz w:val="22"/>
          <w:szCs w:val="22"/>
          <w:shd w:val="clear" w:color="auto" w:fill="FFFFFF"/>
        </w:rPr>
        <w:t>Providing access to, or engagement with, a new range of customers.</w:t>
      </w:r>
    </w:p>
    <w:p w14:paraId="5830179B" w14:textId="078D20CB" w:rsidR="005854B0" w:rsidRPr="0030427C" w:rsidRDefault="005854B0" w:rsidP="002B4744">
      <w:pPr>
        <w:pStyle w:val="NoSpacing"/>
        <w:numPr>
          <w:ilvl w:val="0"/>
          <w:numId w:val="8"/>
        </w:numPr>
        <w:rPr>
          <w:rFonts w:asciiTheme="minorHAnsi" w:hAnsiTheme="minorHAnsi" w:cstheme="minorHAnsi"/>
          <w:sz w:val="22"/>
          <w:szCs w:val="22"/>
          <w:shd w:val="clear" w:color="auto" w:fill="FFFFFF"/>
        </w:rPr>
      </w:pPr>
      <w:r w:rsidRPr="00E70B03">
        <w:rPr>
          <w:sz w:val="22"/>
          <w:szCs w:val="22"/>
          <w:shd w:val="clear" w:color="auto" w:fill="FFFFFF"/>
        </w:rPr>
        <w:t>To meet employer requirements where we do not have the internal capacity or skills.</w:t>
      </w:r>
    </w:p>
    <w:p w14:paraId="4C2FD1BB" w14:textId="6D221C25" w:rsidR="0030427C" w:rsidRPr="0030427C" w:rsidRDefault="0030427C"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provide niche and specialist delivery where the cost of developing direct delivery would be inappropriate.</w:t>
      </w:r>
    </w:p>
    <w:p w14:paraId="509EA56F" w14:textId="7FAFABC1" w:rsidR="0030427C" w:rsidRPr="00A16A4A" w:rsidRDefault="0030427C"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support employers with a wide geographic requirement</w:t>
      </w:r>
    </w:p>
    <w:p w14:paraId="115CFEF5" w14:textId="0CD90B93" w:rsidR="00A16A4A" w:rsidRPr="00CC0ED6" w:rsidRDefault="00A16A4A"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improve cost effectiveness of provision</w:t>
      </w:r>
    </w:p>
    <w:p w14:paraId="7BEF3ED8" w14:textId="25DBABD9" w:rsidR="00A16A4A" w:rsidRPr="00856468" w:rsidRDefault="00A16A4A"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Enhance opportunities available to young people and adults</w:t>
      </w:r>
    </w:p>
    <w:p w14:paraId="775C68EA" w14:textId="5D779DCD" w:rsidR="00856468" w:rsidRPr="00F76848" w:rsidRDefault="00856468"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rapidly respond to training needs supporting the bounce back from COVID</w:t>
      </w:r>
    </w:p>
    <w:p w14:paraId="50ED9A56" w14:textId="4B79BF00" w:rsidR="00F76848" w:rsidRPr="0067799E" w:rsidRDefault="00F76848"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support another provider to develop capacity/quality</w:t>
      </w:r>
    </w:p>
    <w:p w14:paraId="36AFCC0A" w14:textId="373FE4BE" w:rsidR="005854B0" w:rsidRDefault="005854B0" w:rsidP="00156747">
      <w:pPr>
        <w:rPr>
          <w:spacing w:val="11"/>
          <w:shd w:val="clear" w:color="auto" w:fill="FFFFFF"/>
        </w:rPr>
      </w:pPr>
    </w:p>
    <w:p w14:paraId="29371182" w14:textId="4E772B12" w:rsidR="00156747" w:rsidRPr="00E70B03" w:rsidRDefault="00156747" w:rsidP="00156747">
      <w:pPr>
        <w:rPr>
          <w:spacing w:val="11"/>
          <w:shd w:val="clear" w:color="auto" w:fill="FFFFFF"/>
        </w:rPr>
      </w:pPr>
      <w:r>
        <w:rPr>
          <w:spacing w:val="11"/>
          <w:shd w:val="clear" w:color="auto" w:fill="FFFFFF"/>
        </w:rPr>
        <w:t>For Apprentify to offer the best quality experience for every learner and employer, there will be some instances where we need to work with high quality delivery partners. Th</w:t>
      </w:r>
      <w:r w:rsidR="00856468">
        <w:rPr>
          <w:spacing w:val="11"/>
          <w:shd w:val="clear" w:color="auto" w:fill="FFFFFF"/>
        </w:rPr>
        <w:t>is</w:t>
      </w:r>
      <w:r>
        <w:rPr>
          <w:spacing w:val="11"/>
          <w:shd w:val="clear" w:color="auto" w:fill="FFFFFF"/>
        </w:rPr>
        <w:t xml:space="preserve"> be</w:t>
      </w:r>
      <w:r w:rsidR="00856468">
        <w:rPr>
          <w:spacing w:val="11"/>
          <w:shd w:val="clear" w:color="auto" w:fill="FFFFFF"/>
        </w:rPr>
        <w:t>ing</w:t>
      </w:r>
      <w:r>
        <w:rPr>
          <w:spacing w:val="11"/>
          <w:shd w:val="clear" w:color="auto" w:fill="FFFFFF"/>
        </w:rPr>
        <w:t xml:space="preserve"> at the request of the employer or individual, or to provide relevant sector, geographic or specialist expertise. </w:t>
      </w:r>
    </w:p>
    <w:p w14:paraId="139B83E1" w14:textId="77777777" w:rsidR="000E7839" w:rsidRDefault="000E7839" w:rsidP="000E7839">
      <w:pPr>
        <w:rPr>
          <w:spacing w:val="11"/>
          <w:sz w:val="22"/>
          <w:szCs w:val="22"/>
          <w:shd w:val="clear" w:color="auto" w:fill="FFFFFF"/>
        </w:rPr>
      </w:pPr>
    </w:p>
    <w:p w14:paraId="279A56C8" w14:textId="77777777" w:rsidR="00A16A4A" w:rsidRDefault="00A16A4A" w:rsidP="000E7839">
      <w:pPr>
        <w:rPr>
          <w:color w:val="F0A22E" w:themeColor="accent1"/>
          <w:spacing w:val="11"/>
          <w:sz w:val="32"/>
          <w:szCs w:val="32"/>
          <w:shd w:val="clear" w:color="auto" w:fill="FFFFFF"/>
        </w:rPr>
      </w:pPr>
    </w:p>
    <w:p w14:paraId="068600D5" w14:textId="77777777" w:rsidR="00A16A4A" w:rsidRDefault="00A16A4A" w:rsidP="000E7839">
      <w:pPr>
        <w:rPr>
          <w:color w:val="F0A22E" w:themeColor="accent1"/>
          <w:spacing w:val="11"/>
          <w:sz w:val="32"/>
          <w:szCs w:val="32"/>
          <w:shd w:val="clear" w:color="auto" w:fill="FFFFFF"/>
        </w:rPr>
      </w:pPr>
    </w:p>
    <w:p w14:paraId="27AE01FD" w14:textId="77777777" w:rsidR="00A16A4A" w:rsidRDefault="00A16A4A" w:rsidP="000E7839">
      <w:pPr>
        <w:rPr>
          <w:color w:val="F0A22E" w:themeColor="accent1"/>
          <w:spacing w:val="11"/>
          <w:sz w:val="32"/>
          <w:szCs w:val="32"/>
          <w:shd w:val="clear" w:color="auto" w:fill="FFFFFF"/>
        </w:rPr>
      </w:pPr>
    </w:p>
    <w:p w14:paraId="62BFF93B" w14:textId="77777777" w:rsidR="00A16A4A" w:rsidRDefault="00A16A4A" w:rsidP="000E7839">
      <w:pPr>
        <w:rPr>
          <w:color w:val="F0A22E" w:themeColor="accent1"/>
          <w:spacing w:val="11"/>
          <w:sz w:val="32"/>
          <w:szCs w:val="32"/>
          <w:shd w:val="clear" w:color="auto" w:fill="FFFFFF"/>
        </w:rPr>
      </w:pPr>
    </w:p>
    <w:p w14:paraId="37A27C83" w14:textId="77777777" w:rsidR="00A16A4A" w:rsidRDefault="00A16A4A" w:rsidP="000E7839">
      <w:pPr>
        <w:rPr>
          <w:color w:val="F0A22E" w:themeColor="accent1"/>
          <w:spacing w:val="11"/>
          <w:sz w:val="32"/>
          <w:szCs w:val="32"/>
          <w:shd w:val="clear" w:color="auto" w:fill="FFFFFF"/>
        </w:rPr>
      </w:pPr>
    </w:p>
    <w:p w14:paraId="6FD85DCE" w14:textId="77777777" w:rsidR="00A16A4A" w:rsidRDefault="00A16A4A" w:rsidP="000E7839">
      <w:pPr>
        <w:rPr>
          <w:color w:val="F0A22E" w:themeColor="accent1"/>
          <w:spacing w:val="11"/>
          <w:sz w:val="32"/>
          <w:szCs w:val="32"/>
          <w:shd w:val="clear" w:color="auto" w:fill="FFFFFF"/>
        </w:rPr>
      </w:pPr>
    </w:p>
    <w:p w14:paraId="39C477AA" w14:textId="102E9D9A" w:rsidR="000E7839" w:rsidRDefault="000E7839" w:rsidP="000E7839">
      <w:pPr>
        <w:rPr>
          <w:color w:val="F0A22E" w:themeColor="accent1"/>
          <w:spacing w:val="11"/>
          <w:sz w:val="32"/>
          <w:szCs w:val="32"/>
          <w:shd w:val="clear" w:color="auto" w:fill="FFFFFF"/>
        </w:rPr>
      </w:pPr>
      <w:r w:rsidRPr="000E7839">
        <w:rPr>
          <w:color w:val="F0A22E" w:themeColor="accent1"/>
          <w:spacing w:val="11"/>
          <w:sz w:val="32"/>
          <w:szCs w:val="32"/>
          <w:shd w:val="clear" w:color="auto" w:fill="FFFFFF"/>
        </w:rPr>
        <w:lastRenderedPageBreak/>
        <w:t xml:space="preserve">Types of support </w:t>
      </w:r>
      <w:r w:rsidR="00AB7E4E">
        <w:rPr>
          <w:color w:val="F0A22E" w:themeColor="accent1"/>
          <w:spacing w:val="11"/>
          <w:sz w:val="32"/>
          <w:szCs w:val="32"/>
          <w:shd w:val="clear" w:color="auto" w:fill="FFFFFF"/>
        </w:rPr>
        <w:t>the</w:t>
      </w:r>
      <w:r w:rsidR="00AB7E4E">
        <w:rPr>
          <w:color w:val="F0A22E" w:themeColor="accent1"/>
          <w:spacing w:val="11"/>
          <w:sz w:val="32"/>
          <w:szCs w:val="32"/>
          <w:shd w:val="clear" w:color="auto" w:fill="FFFFFF"/>
        </w:rPr>
        <w:t xml:space="preserve"> </w:t>
      </w:r>
      <w:r w:rsidRPr="000E7839">
        <w:rPr>
          <w:color w:val="F0A22E" w:themeColor="accent1"/>
          <w:spacing w:val="11"/>
          <w:sz w:val="32"/>
          <w:szCs w:val="32"/>
          <w:shd w:val="clear" w:color="auto" w:fill="FFFFFF"/>
        </w:rPr>
        <w:t>subcontractor will receive from Apprentify to deliver services to clients:</w:t>
      </w:r>
    </w:p>
    <w:p w14:paraId="58A78BE1" w14:textId="77777777" w:rsidR="000E7839" w:rsidRPr="000E7839" w:rsidRDefault="000E7839" w:rsidP="000E7839">
      <w:pPr>
        <w:rPr>
          <w:color w:val="F0A22E" w:themeColor="accent1"/>
          <w:spacing w:val="11"/>
          <w:sz w:val="32"/>
          <w:szCs w:val="32"/>
          <w:shd w:val="clear" w:color="auto" w:fill="FFFFFF"/>
        </w:rPr>
      </w:pPr>
    </w:p>
    <w:p w14:paraId="412F7DE3" w14:textId="77777777" w:rsidR="000E7839" w:rsidRPr="000E7839"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sidRPr="000E7839">
        <w:rPr>
          <w:rFonts w:ascii="Arial" w:hAnsi="Arial" w:cs="Arial"/>
        </w:rPr>
        <w:t>Performance assessment of activities such as teaching, learning &amp; assessment.</w:t>
      </w:r>
    </w:p>
    <w:p w14:paraId="55FD5218" w14:textId="77777777" w:rsidR="000E7839" w:rsidRPr="000E7839"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sidRPr="000E7839">
        <w:rPr>
          <w:rFonts w:ascii="Arial" w:hAnsi="Arial" w:cs="Arial"/>
        </w:rPr>
        <w:t>Experienced staff as a point of call and support to enable the subcontractor to contact Apprentify for any questions and queries relating to their provision, funding arrangements and quality improvement.</w:t>
      </w:r>
    </w:p>
    <w:p w14:paraId="72433A62" w14:textId="4AA5BEEA" w:rsidR="000E7839" w:rsidRPr="000E7839"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R</w:t>
      </w:r>
      <w:r w:rsidRPr="000E7839">
        <w:rPr>
          <w:rFonts w:ascii="Arial" w:hAnsi="Arial" w:cs="Arial"/>
        </w:rPr>
        <w:t>egular contract monitoring visits, frequency based on risk assessment according to the performance of the subcontractor.</w:t>
      </w:r>
    </w:p>
    <w:p w14:paraId="761F5FD5" w14:textId="5A938CC3" w:rsidR="00BC7EED" w:rsidRPr="00A16A4A"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sidRPr="000E7839">
        <w:rPr>
          <w:rFonts w:ascii="Arial" w:hAnsi="Arial" w:cs="Arial"/>
        </w:rPr>
        <w:t>Apprentify to invite subcontractor staff to attend support activities such as Health and Safety, Safeguarding, Prevent, Equality and Diversity, British Values, Masterclasses etc.</w:t>
      </w:r>
    </w:p>
    <w:p w14:paraId="698C0874" w14:textId="0A2DA6A7" w:rsidR="00A16A4A" w:rsidRPr="00A16A4A"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Advice &amp; Guidance (pre-contract and during)</w:t>
      </w:r>
    </w:p>
    <w:p w14:paraId="145F19C1" w14:textId="226D245F" w:rsidR="00A16A4A" w:rsidRPr="00A16A4A"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Audit/Compliance</w:t>
      </w:r>
    </w:p>
    <w:p w14:paraId="50190C87" w14:textId="29ACE8E5" w:rsidR="00A16A4A" w:rsidRPr="00A16A4A"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Monthly funding reports and reconciliations against claims received.</w:t>
      </w:r>
    </w:p>
    <w:p w14:paraId="696F6D2F" w14:textId="4121179E" w:rsidR="00A16A4A" w:rsidRPr="00DF4278"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Access to training events/seminars, as appropriate</w:t>
      </w:r>
    </w:p>
    <w:p w14:paraId="2D93E65C" w14:textId="46251539" w:rsidR="00DF4278" w:rsidRPr="00DF4278" w:rsidRDefault="00DF4278"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Curriculum development support</w:t>
      </w:r>
    </w:p>
    <w:p w14:paraId="17AC0027" w14:textId="5CF714AE" w:rsidR="00DF4278" w:rsidRPr="00DF4278" w:rsidRDefault="00DF4278"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RoATP support offered if applicable/required</w:t>
      </w:r>
    </w:p>
    <w:p w14:paraId="0DE135C6" w14:textId="486D9183" w:rsidR="00DF4278" w:rsidRPr="00156747" w:rsidRDefault="00DF4A34"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Ongoing</w:t>
      </w:r>
      <w:r w:rsidR="00DF4278">
        <w:rPr>
          <w:rFonts w:ascii="Arial" w:hAnsi="Arial" w:cs="Arial"/>
        </w:rPr>
        <w:t xml:space="preserve"> support to address any areas for improvement</w:t>
      </w:r>
    </w:p>
    <w:p w14:paraId="2C0BAD66" w14:textId="401EBC02" w:rsidR="000E7839" w:rsidRDefault="000E7839" w:rsidP="000E7839">
      <w:pPr>
        <w:rPr>
          <w:color w:val="F0A22E" w:themeColor="accent1"/>
          <w:spacing w:val="11"/>
          <w:sz w:val="32"/>
          <w:szCs w:val="32"/>
          <w:shd w:val="clear" w:color="auto" w:fill="FFFFFF"/>
        </w:rPr>
      </w:pPr>
      <w:r w:rsidRPr="000E7839">
        <w:rPr>
          <w:color w:val="F0A22E" w:themeColor="accent1"/>
          <w:spacing w:val="11"/>
          <w:sz w:val="32"/>
          <w:szCs w:val="32"/>
          <w:shd w:val="clear" w:color="auto" w:fill="FFFFFF"/>
        </w:rPr>
        <w:t>Responsibility of Subcontractors:</w:t>
      </w:r>
    </w:p>
    <w:p w14:paraId="7159CC16" w14:textId="77777777" w:rsidR="000E7839" w:rsidRPr="000E7839" w:rsidRDefault="000E7839" w:rsidP="000E7839">
      <w:pPr>
        <w:rPr>
          <w:color w:val="F0A22E" w:themeColor="accent1"/>
          <w:spacing w:val="11"/>
          <w:sz w:val="32"/>
          <w:szCs w:val="32"/>
          <w:shd w:val="clear" w:color="auto" w:fill="FFFFFF"/>
        </w:rPr>
      </w:pPr>
    </w:p>
    <w:p w14:paraId="5707EC62" w14:textId="7C28DBA6"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provide regular update and data in respect of learners in line with ESFA data reporting requirements</w:t>
      </w:r>
      <w:r w:rsidR="00FE5987">
        <w:rPr>
          <w:rFonts w:ascii="Arial" w:hAnsi="Arial" w:cs="Arial"/>
        </w:rPr>
        <w:t>.</w:t>
      </w:r>
    </w:p>
    <w:p w14:paraId="66044CA2"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 xml:space="preserve"> To provide access to Apprentify colleagues to help ensure that provision continues to meet quality requirements.</w:t>
      </w:r>
    </w:p>
    <w:p w14:paraId="4DFCC54F"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comply with this policy and the requirements of the contract and ESFA funding rules.</w:t>
      </w:r>
    </w:p>
    <w:p w14:paraId="752A3519"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comply with awarding organisation requirements.</w:t>
      </w:r>
    </w:p>
    <w:p w14:paraId="6F43F245"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deliver the training services to the highest possible quality in line with this policy and to ensure that health and safety requirements, safeguarding arrangements etc protect learners.</w:t>
      </w:r>
    </w:p>
    <w:p w14:paraId="1CB23A61" w14:textId="0FCFB63D" w:rsidR="000E7839" w:rsidRPr="0060535C"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meet the requirements of the OFSTED Education Inspection Framework (EIF), retain MATRIX accreditation and any other conditions required as part of the funding agreement.</w:t>
      </w:r>
    </w:p>
    <w:p w14:paraId="2E8F0333" w14:textId="059259F6" w:rsidR="0060535C" w:rsidRDefault="0060535C" w:rsidP="0060535C">
      <w:pPr>
        <w:spacing w:after="160" w:line="259" w:lineRule="auto"/>
        <w:contextualSpacing/>
        <w:rPr>
          <w:spacing w:val="11"/>
          <w:shd w:val="clear" w:color="auto" w:fill="FFFFFF"/>
        </w:rPr>
      </w:pPr>
    </w:p>
    <w:p w14:paraId="3BCD7633" w14:textId="77777777" w:rsidR="0060535C" w:rsidRDefault="0060535C" w:rsidP="0060535C">
      <w:pPr>
        <w:rPr>
          <w:color w:val="F0A22E" w:themeColor="accent1"/>
          <w:spacing w:val="11"/>
          <w:sz w:val="32"/>
          <w:szCs w:val="32"/>
          <w:shd w:val="clear" w:color="auto" w:fill="FFFFFF"/>
        </w:rPr>
      </w:pPr>
    </w:p>
    <w:p w14:paraId="2A3A7920" w14:textId="77777777" w:rsidR="0060535C" w:rsidRDefault="0060535C" w:rsidP="0060535C">
      <w:pPr>
        <w:rPr>
          <w:color w:val="F0A22E" w:themeColor="accent1"/>
          <w:spacing w:val="11"/>
          <w:sz w:val="32"/>
          <w:szCs w:val="32"/>
          <w:shd w:val="clear" w:color="auto" w:fill="FFFFFF"/>
        </w:rPr>
      </w:pPr>
    </w:p>
    <w:p w14:paraId="25C5A120" w14:textId="77777777" w:rsidR="0060535C" w:rsidRDefault="0060535C" w:rsidP="0060535C">
      <w:pPr>
        <w:rPr>
          <w:color w:val="F0A22E" w:themeColor="accent1"/>
          <w:spacing w:val="11"/>
          <w:sz w:val="32"/>
          <w:szCs w:val="32"/>
          <w:shd w:val="clear" w:color="auto" w:fill="FFFFFF"/>
        </w:rPr>
      </w:pPr>
    </w:p>
    <w:p w14:paraId="3A95C8DD" w14:textId="77777777" w:rsidR="0060535C" w:rsidRDefault="0060535C" w:rsidP="0060535C">
      <w:pPr>
        <w:rPr>
          <w:color w:val="F0A22E" w:themeColor="accent1"/>
          <w:spacing w:val="11"/>
          <w:sz w:val="32"/>
          <w:szCs w:val="32"/>
          <w:shd w:val="clear" w:color="auto" w:fill="FFFFFF"/>
        </w:rPr>
      </w:pPr>
    </w:p>
    <w:p w14:paraId="1AE21146" w14:textId="77777777" w:rsidR="0060535C" w:rsidRDefault="0060535C" w:rsidP="0060535C">
      <w:pPr>
        <w:rPr>
          <w:color w:val="F0A22E" w:themeColor="accent1"/>
          <w:spacing w:val="11"/>
          <w:sz w:val="32"/>
          <w:szCs w:val="32"/>
          <w:shd w:val="clear" w:color="auto" w:fill="FFFFFF"/>
        </w:rPr>
      </w:pPr>
    </w:p>
    <w:p w14:paraId="14C57F16" w14:textId="77777777" w:rsidR="0060535C" w:rsidRDefault="0060535C" w:rsidP="0060535C">
      <w:pPr>
        <w:rPr>
          <w:color w:val="F0A22E" w:themeColor="accent1"/>
          <w:spacing w:val="11"/>
          <w:sz w:val="32"/>
          <w:szCs w:val="32"/>
          <w:shd w:val="clear" w:color="auto" w:fill="FFFFFF"/>
        </w:rPr>
      </w:pPr>
    </w:p>
    <w:p w14:paraId="2F2BE0CD" w14:textId="77777777" w:rsidR="0060535C" w:rsidRDefault="0060535C" w:rsidP="0060535C">
      <w:pPr>
        <w:rPr>
          <w:color w:val="F0A22E" w:themeColor="accent1"/>
          <w:spacing w:val="11"/>
          <w:sz w:val="32"/>
          <w:szCs w:val="32"/>
          <w:shd w:val="clear" w:color="auto" w:fill="FFFFFF"/>
        </w:rPr>
      </w:pPr>
    </w:p>
    <w:p w14:paraId="7D385214" w14:textId="77777777" w:rsidR="0060535C" w:rsidRDefault="0060535C" w:rsidP="0060535C">
      <w:pPr>
        <w:rPr>
          <w:color w:val="F0A22E" w:themeColor="accent1"/>
          <w:spacing w:val="11"/>
          <w:sz w:val="32"/>
          <w:szCs w:val="32"/>
          <w:shd w:val="clear" w:color="auto" w:fill="FFFFFF"/>
        </w:rPr>
      </w:pPr>
    </w:p>
    <w:p w14:paraId="63CA0F7E" w14:textId="77777777" w:rsidR="0060535C" w:rsidRDefault="0060535C" w:rsidP="0060535C">
      <w:pPr>
        <w:rPr>
          <w:color w:val="F0A22E" w:themeColor="accent1"/>
          <w:spacing w:val="11"/>
          <w:sz w:val="32"/>
          <w:szCs w:val="32"/>
          <w:shd w:val="clear" w:color="auto" w:fill="FFFFFF"/>
        </w:rPr>
      </w:pPr>
    </w:p>
    <w:p w14:paraId="2AC97A07" w14:textId="31C77698" w:rsidR="0060535C" w:rsidRDefault="0060535C" w:rsidP="0060535C">
      <w:pPr>
        <w:rPr>
          <w:color w:val="F0A22E" w:themeColor="accent1"/>
          <w:spacing w:val="11"/>
          <w:sz w:val="32"/>
          <w:szCs w:val="32"/>
          <w:shd w:val="clear" w:color="auto" w:fill="FFFFFF"/>
        </w:rPr>
      </w:pPr>
      <w:r>
        <w:rPr>
          <w:color w:val="F0A22E" w:themeColor="accent1"/>
          <w:spacing w:val="11"/>
          <w:sz w:val="32"/>
          <w:szCs w:val="32"/>
          <w:shd w:val="clear" w:color="auto" w:fill="FFFFFF"/>
        </w:rPr>
        <w:lastRenderedPageBreak/>
        <w:t>Due Diligence Process</w:t>
      </w:r>
      <w:r w:rsidRPr="000E7839">
        <w:rPr>
          <w:color w:val="F0A22E" w:themeColor="accent1"/>
          <w:spacing w:val="11"/>
          <w:sz w:val="32"/>
          <w:szCs w:val="32"/>
          <w:shd w:val="clear" w:color="auto" w:fill="FFFFFF"/>
        </w:rPr>
        <w:t>:</w:t>
      </w:r>
    </w:p>
    <w:p w14:paraId="4C1D78EA" w14:textId="77777777" w:rsidR="00DF4A34" w:rsidRDefault="00DF4A34" w:rsidP="0060535C">
      <w:pPr>
        <w:rPr>
          <w:color w:val="F0A22E" w:themeColor="accent1"/>
          <w:spacing w:val="11"/>
          <w:sz w:val="32"/>
          <w:szCs w:val="32"/>
          <w:shd w:val="clear" w:color="auto" w:fill="FFFFFF"/>
        </w:rPr>
      </w:pPr>
    </w:p>
    <w:p w14:paraId="17F720A0" w14:textId="73F75082" w:rsidR="0060535C" w:rsidRDefault="0060535C" w:rsidP="0060535C">
      <w:pPr>
        <w:rPr>
          <w:sz w:val="22"/>
          <w:szCs w:val="22"/>
        </w:rPr>
      </w:pPr>
      <w:r w:rsidRPr="0060535C">
        <w:rPr>
          <w:sz w:val="22"/>
          <w:szCs w:val="22"/>
        </w:rPr>
        <w:t xml:space="preserve">The first stage in establishing the partnership is the completion of a rigorous Due Diligence process. This ensures that each partner’s financial, quality and learner support arrangements are robust. </w:t>
      </w:r>
      <w:r>
        <w:rPr>
          <w:sz w:val="22"/>
          <w:szCs w:val="22"/>
        </w:rPr>
        <w:t>Apprentify</w:t>
      </w:r>
      <w:r w:rsidRPr="0060535C">
        <w:rPr>
          <w:sz w:val="22"/>
          <w:szCs w:val="22"/>
        </w:rPr>
        <w:t xml:space="preserve"> will fully support the partner to complete this process</w:t>
      </w:r>
      <w:r>
        <w:rPr>
          <w:sz w:val="22"/>
          <w:szCs w:val="22"/>
        </w:rPr>
        <w:t>.</w:t>
      </w:r>
    </w:p>
    <w:p w14:paraId="71D87014" w14:textId="38A937A5" w:rsidR="0060535C" w:rsidRDefault="0060535C" w:rsidP="0060535C">
      <w:pPr>
        <w:rPr>
          <w:sz w:val="22"/>
          <w:szCs w:val="22"/>
        </w:rPr>
      </w:pPr>
      <w:r w:rsidRPr="0060535C">
        <w:rPr>
          <w:sz w:val="22"/>
          <w:szCs w:val="22"/>
        </w:rPr>
        <w:t>Companies House checks on Company Directors will be undertaken. Partners will be asked to refresh their Due Diligence on an annual basis.</w:t>
      </w:r>
    </w:p>
    <w:p w14:paraId="21DD5575" w14:textId="77777777" w:rsidR="00500490" w:rsidRDefault="00500490" w:rsidP="0060535C">
      <w:pPr>
        <w:rPr>
          <w:sz w:val="22"/>
          <w:szCs w:val="22"/>
        </w:rPr>
      </w:pPr>
    </w:p>
    <w:p w14:paraId="11717926" w14:textId="3DC3B51B" w:rsidR="0060535C" w:rsidRDefault="0060535C" w:rsidP="0060535C">
      <w:pPr>
        <w:rPr>
          <w:sz w:val="22"/>
          <w:szCs w:val="22"/>
        </w:rPr>
      </w:pPr>
      <w:r w:rsidRPr="0060535C">
        <w:rPr>
          <w:sz w:val="22"/>
          <w:szCs w:val="22"/>
        </w:rPr>
        <w:t>The potential subcontractor will have to provide:</w:t>
      </w:r>
    </w:p>
    <w:p w14:paraId="5105E174" w14:textId="77777777" w:rsidR="001F5C9C" w:rsidRDefault="001F5C9C" w:rsidP="0060535C">
      <w:pPr>
        <w:rPr>
          <w:sz w:val="22"/>
          <w:szCs w:val="22"/>
        </w:rPr>
      </w:pPr>
    </w:p>
    <w:p w14:paraId="6D64B47A" w14:textId="7038A715"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Organisation Details </w:t>
      </w:r>
    </w:p>
    <w:p w14:paraId="22C1A6D3" w14:textId="08772F90"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Contact names, addresses and telephone numbers of all Company Directors/Secretary/Partners. </w:t>
      </w:r>
    </w:p>
    <w:p w14:paraId="2EAB0D37" w14:textId="7D7D2219"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Details of other </w:t>
      </w:r>
      <w:r w:rsidR="00AB7E4E">
        <w:rPr>
          <w:rFonts w:ascii="Arial" w:hAnsi="Arial" w:cs="Arial"/>
          <w:sz w:val="22"/>
          <w:szCs w:val="28"/>
        </w:rPr>
        <w:t xml:space="preserve">subcontracting agreements or </w:t>
      </w:r>
      <w:r w:rsidRPr="00500490">
        <w:rPr>
          <w:rFonts w:ascii="Arial" w:hAnsi="Arial" w:cs="Arial"/>
          <w:sz w:val="22"/>
          <w:szCs w:val="28"/>
        </w:rPr>
        <w:t xml:space="preserve">contracts </w:t>
      </w:r>
      <w:r w:rsidR="00AB7E4E">
        <w:rPr>
          <w:rFonts w:ascii="Arial" w:hAnsi="Arial" w:cs="Arial"/>
          <w:sz w:val="22"/>
          <w:szCs w:val="28"/>
        </w:rPr>
        <w:t>that fall under the provision of funded / regulated provision</w:t>
      </w:r>
    </w:p>
    <w:p w14:paraId="06DE9485" w14:textId="77777777" w:rsidR="00856468"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Performance Data including previous success rates for each cohort/programme, by type of student </w:t>
      </w:r>
    </w:p>
    <w:p w14:paraId="31CCE97B" w14:textId="73A6DAC2"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Latest audited accounts for a financial viability health check </w:t>
      </w:r>
    </w:p>
    <w:p w14:paraId="5269871C" w14:textId="160F6B4D"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Employer, Public and Product Liability </w:t>
      </w:r>
    </w:p>
    <w:p w14:paraId="510AC30D" w14:textId="5D977BDD"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Health and Safety Policy </w:t>
      </w:r>
    </w:p>
    <w:p w14:paraId="330393AD" w14:textId="233A9610"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Equality and Diversity Policy </w:t>
      </w:r>
    </w:p>
    <w:p w14:paraId="13AC7C04" w14:textId="6938BE44"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Schemes of work for proposed programmes </w:t>
      </w:r>
    </w:p>
    <w:p w14:paraId="3668F295" w14:textId="7627966E"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Details of approved centres for examinations </w:t>
      </w:r>
    </w:p>
    <w:p w14:paraId="1C226C45" w14:textId="013E3502" w:rsidR="00500490"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CVs including professional qualifications and CRB checks of all staff </w:t>
      </w:r>
    </w:p>
    <w:p w14:paraId="72F5B1B5" w14:textId="07F4691F" w:rsidR="00500490"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Evidence that all staff have undertaken safeguarding training </w:t>
      </w:r>
    </w:p>
    <w:p w14:paraId="44D03E87" w14:textId="015F1458" w:rsidR="00500490" w:rsidRPr="00500490" w:rsidRDefault="00500490" w:rsidP="002B4744">
      <w:pPr>
        <w:pStyle w:val="TableEntrySmall"/>
        <w:numPr>
          <w:ilvl w:val="0"/>
          <w:numId w:val="9"/>
        </w:numPr>
        <w:rPr>
          <w:rFonts w:ascii="Arial" w:hAnsi="Arial" w:cs="Arial"/>
          <w:sz w:val="22"/>
          <w:szCs w:val="28"/>
        </w:rPr>
      </w:pPr>
      <w:r w:rsidRPr="00500490">
        <w:rPr>
          <w:rFonts w:ascii="Arial" w:hAnsi="Arial" w:cs="Arial"/>
          <w:sz w:val="22"/>
          <w:szCs w:val="28"/>
        </w:rPr>
        <w:t>All relevant policies and procedures</w:t>
      </w:r>
    </w:p>
    <w:p w14:paraId="42F1F5D6" w14:textId="640A6E72" w:rsid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Performance Data</w:t>
      </w:r>
    </w:p>
    <w:p w14:paraId="7F3C064B" w14:textId="7A5F6C5B" w:rsidR="00AB7E4E" w:rsidRPr="00500490" w:rsidRDefault="00AB7E4E" w:rsidP="002B4744">
      <w:pPr>
        <w:pStyle w:val="TableEntrySmall"/>
        <w:numPr>
          <w:ilvl w:val="0"/>
          <w:numId w:val="9"/>
        </w:numPr>
        <w:rPr>
          <w:rFonts w:ascii="Arial" w:hAnsi="Arial" w:cs="Arial"/>
          <w:sz w:val="22"/>
          <w:szCs w:val="28"/>
        </w:rPr>
      </w:pPr>
      <w:r>
        <w:rPr>
          <w:rFonts w:ascii="Arial" w:hAnsi="Arial" w:cs="Arial"/>
          <w:sz w:val="22"/>
          <w:szCs w:val="28"/>
        </w:rPr>
        <w:t>Last Ofsted report where the subcontractor came within scope / was inspected as part of a partner inspection</w:t>
      </w:r>
    </w:p>
    <w:p w14:paraId="3103E22A" w14:textId="462468EA" w:rsidR="00500490" w:rsidRDefault="00500490" w:rsidP="0060535C">
      <w:pPr>
        <w:rPr>
          <w:sz w:val="22"/>
          <w:szCs w:val="22"/>
        </w:rPr>
      </w:pPr>
    </w:p>
    <w:p w14:paraId="7B85A6C1" w14:textId="5A5A9E5D" w:rsidR="0060535C" w:rsidRDefault="0060535C" w:rsidP="00DF4A34">
      <w:pPr>
        <w:rPr>
          <w:spacing w:val="11"/>
          <w:shd w:val="clear" w:color="auto" w:fill="FFFFFF"/>
        </w:rPr>
      </w:pPr>
      <w:r w:rsidRPr="0060535C">
        <w:rPr>
          <w:sz w:val="22"/>
          <w:szCs w:val="22"/>
        </w:rPr>
        <w:t>Additional information may be requested.</w:t>
      </w:r>
    </w:p>
    <w:p w14:paraId="329155EB" w14:textId="77777777" w:rsidR="0060535C" w:rsidRPr="0060535C" w:rsidRDefault="0060535C" w:rsidP="0060535C">
      <w:pPr>
        <w:spacing w:after="160" w:line="259" w:lineRule="auto"/>
        <w:contextualSpacing/>
        <w:rPr>
          <w:spacing w:val="11"/>
          <w:shd w:val="clear" w:color="auto" w:fill="FFFFFF"/>
        </w:rPr>
      </w:pPr>
    </w:p>
    <w:p w14:paraId="7C7651B5" w14:textId="38BEA548" w:rsidR="000E7839" w:rsidRDefault="000E7839" w:rsidP="000E7839">
      <w:pPr>
        <w:rPr>
          <w:color w:val="F0A22E" w:themeColor="accent1"/>
          <w:spacing w:val="11"/>
          <w:sz w:val="32"/>
          <w:szCs w:val="32"/>
          <w:shd w:val="clear" w:color="auto" w:fill="FFFFFF"/>
        </w:rPr>
      </w:pPr>
      <w:r w:rsidRPr="000E7839">
        <w:rPr>
          <w:color w:val="F0A22E" w:themeColor="accent1"/>
          <w:spacing w:val="11"/>
          <w:sz w:val="32"/>
          <w:szCs w:val="32"/>
          <w:shd w:val="clear" w:color="auto" w:fill="FFFFFF"/>
        </w:rPr>
        <w:t>Risk assessment, Management fees and charges:</w:t>
      </w:r>
    </w:p>
    <w:p w14:paraId="04D79500" w14:textId="77777777" w:rsidR="000E7839" w:rsidRPr="000E7839" w:rsidRDefault="000E7839" w:rsidP="000E7839">
      <w:pPr>
        <w:rPr>
          <w:color w:val="F0A22E" w:themeColor="accent1"/>
          <w:spacing w:val="11"/>
          <w:sz w:val="32"/>
          <w:szCs w:val="32"/>
          <w:shd w:val="clear" w:color="auto" w:fill="FFFFFF"/>
        </w:rPr>
      </w:pPr>
    </w:p>
    <w:p w14:paraId="62298EFA" w14:textId="05553805" w:rsidR="000E7839" w:rsidRPr="000E7839" w:rsidRDefault="000E7839" w:rsidP="000E7839">
      <w:pPr>
        <w:rPr>
          <w:sz w:val="22"/>
          <w:szCs w:val="22"/>
          <w:shd w:val="clear" w:color="auto" w:fill="FFFFFF"/>
        </w:rPr>
      </w:pPr>
      <w:r w:rsidRPr="000E7839">
        <w:rPr>
          <w:sz w:val="22"/>
          <w:szCs w:val="22"/>
          <w:shd w:val="clear" w:color="auto" w:fill="FFFFFF"/>
        </w:rPr>
        <w:t xml:space="preserve">Apprentify will conduct a rigorous due diligence and the Subcontractor will supply Apprentify with all relevant information requested to protect learners and to ensure the subcontractor is a legally, </w:t>
      </w:r>
      <w:r w:rsidR="00490ADF" w:rsidRPr="000E7839">
        <w:rPr>
          <w:sz w:val="22"/>
          <w:szCs w:val="22"/>
          <w:shd w:val="clear" w:color="auto" w:fill="FFFFFF"/>
        </w:rPr>
        <w:t>financially,</w:t>
      </w:r>
      <w:r w:rsidRPr="000E7839">
        <w:rPr>
          <w:sz w:val="22"/>
          <w:szCs w:val="22"/>
          <w:shd w:val="clear" w:color="auto" w:fill="FFFFFF"/>
        </w:rPr>
        <w:t xml:space="preserve"> and educationally robust organisation, prior to a contract being signed.</w:t>
      </w:r>
    </w:p>
    <w:p w14:paraId="6F5F0155" w14:textId="1B834157" w:rsidR="000E7839" w:rsidRPr="000E7839" w:rsidRDefault="000E7839" w:rsidP="000E7839">
      <w:pPr>
        <w:pStyle w:val="NormalWeb"/>
        <w:shd w:val="clear" w:color="auto" w:fill="FFFFFF"/>
        <w:spacing w:before="0" w:beforeAutospacing="0" w:after="165" w:afterAutospacing="0"/>
        <w:rPr>
          <w:rFonts w:ascii="Arial" w:hAnsi="Arial" w:cs="Arial"/>
          <w:sz w:val="22"/>
          <w:szCs w:val="22"/>
        </w:rPr>
      </w:pPr>
      <w:r w:rsidRPr="000E7839">
        <w:rPr>
          <w:rFonts w:ascii="Arial" w:hAnsi="Arial" w:cs="Arial"/>
          <w:sz w:val="22"/>
          <w:szCs w:val="22"/>
        </w:rPr>
        <w:t>Apprentify will ensure that the Subcontractor is present on the ROTO (Register of Training Organisation) or on any other public register of database, as an indicator that they are suitable to deliver to Apprentify specific requirements.</w:t>
      </w:r>
    </w:p>
    <w:p w14:paraId="2AC30507" w14:textId="77777777" w:rsidR="000E7839" w:rsidRPr="000E7839" w:rsidRDefault="000E7839" w:rsidP="000E7839">
      <w:pPr>
        <w:pStyle w:val="NormalWeb"/>
        <w:shd w:val="clear" w:color="auto" w:fill="FFFFFF"/>
        <w:spacing w:before="0" w:beforeAutospacing="0" w:after="165" w:afterAutospacing="0"/>
        <w:rPr>
          <w:rFonts w:ascii="Arial" w:hAnsi="Arial" w:cs="Arial"/>
          <w:sz w:val="22"/>
          <w:szCs w:val="22"/>
        </w:rPr>
      </w:pPr>
      <w:r w:rsidRPr="000E7839">
        <w:rPr>
          <w:rFonts w:ascii="Arial" w:hAnsi="Arial" w:cs="Arial"/>
          <w:sz w:val="22"/>
          <w:szCs w:val="22"/>
        </w:rPr>
        <w:t>Apprentify will also ensure any due diligence checks will be made available to the ESFA for inspection.</w:t>
      </w:r>
    </w:p>
    <w:p w14:paraId="16A4ADCB" w14:textId="220B0358" w:rsidR="000E7839" w:rsidRPr="000E7839" w:rsidRDefault="000E7839" w:rsidP="000E7839">
      <w:pPr>
        <w:pStyle w:val="NormalWeb"/>
        <w:shd w:val="clear" w:color="auto" w:fill="FFFFFF"/>
        <w:spacing w:before="0" w:beforeAutospacing="0" w:after="165" w:afterAutospacing="0"/>
        <w:rPr>
          <w:rFonts w:ascii="Arial" w:hAnsi="Arial" w:cs="Arial"/>
          <w:sz w:val="22"/>
          <w:szCs w:val="22"/>
          <w:shd w:val="clear" w:color="auto" w:fill="FFFFFF"/>
        </w:rPr>
      </w:pPr>
      <w:r w:rsidRPr="000E7839">
        <w:rPr>
          <w:rFonts w:ascii="Arial" w:hAnsi="Arial" w:cs="Arial"/>
          <w:sz w:val="22"/>
          <w:szCs w:val="22"/>
          <w:shd w:val="clear" w:color="auto" w:fill="FFFFFF"/>
        </w:rPr>
        <w:t>Apprentify must not appoint any delivery subcontractor with a contract value of £100,000 or greater for each funding year </w:t>
      </w:r>
      <w:r w:rsidRPr="000E7839">
        <w:rPr>
          <w:rFonts w:ascii="Arial" w:hAnsi="Arial" w:cs="Arial"/>
          <w:b/>
          <w:bCs/>
          <w:sz w:val="22"/>
          <w:szCs w:val="22"/>
          <w:shd w:val="clear" w:color="auto" w:fill="FFFFFF"/>
        </w:rPr>
        <w:t>unless </w:t>
      </w:r>
      <w:r w:rsidRPr="000E7839">
        <w:rPr>
          <w:rFonts w:ascii="Arial" w:hAnsi="Arial" w:cs="Arial"/>
          <w:sz w:val="22"/>
          <w:szCs w:val="22"/>
          <w:shd w:val="clear" w:color="auto" w:fill="FFFFFF"/>
        </w:rPr>
        <w:t xml:space="preserve">they are listed on the </w:t>
      </w:r>
      <w:r w:rsidR="00AB7E4E">
        <w:rPr>
          <w:rFonts w:ascii="Arial" w:hAnsi="Arial" w:cs="Arial"/>
          <w:sz w:val="22"/>
          <w:szCs w:val="22"/>
          <w:shd w:val="clear" w:color="auto" w:fill="FFFFFF"/>
        </w:rPr>
        <w:t>ROATP</w:t>
      </w:r>
      <w:r w:rsidR="00C92E5B">
        <w:rPr>
          <w:rFonts w:ascii="Arial" w:hAnsi="Arial" w:cs="Arial"/>
          <w:sz w:val="22"/>
          <w:szCs w:val="22"/>
          <w:shd w:val="clear" w:color="auto" w:fill="FFFFFF"/>
        </w:rPr>
        <w:t xml:space="preserve"> </w:t>
      </w:r>
      <w:r w:rsidRPr="000E7839">
        <w:rPr>
          <w:rFonts w:ascii="Arial" w:hAnsi="Arial" w:cs="Arial"/>
          <w:sz w:val="22"/>
          <w:szCs w:val="22"/>
          <w:shd w:val="clear" w:color="auto" w:fill="FFFFFF"/>
        </w:rPr>
        <w:t xml:space="preserve">(Register of </w:t>
      </w:r>
      <w:r w:rsidR="00C92E5B">
        <w:rPr>
          <w:rFonts w:ascii="Arial" w:hAnsi="Arial" w:cs="Arial"/>
          <w:sz w:val="22"/>
          <w:szCs w:val="22"/>
          <w:shd w:val="clear" w:color="auto" w:fill="FFFFFF"/>
        </w:rPr>
        <w:t xml:space="preserve">apprenticeship </w:t>
      </w:r>
      <w:r w:rsidRPr="000E7839">
        <w:rPr>
          <w:rFonts w:ascii="Arial" w:hAnsi="Arial" w:cs="Arial"/>
          <w:sz w:val="22"/>
          <w:szCs w:val="22"/>
          <w:shd w:val="clear" w:color="auto" w:fill="FFFFFF"/>
        </w:rPr>
        <w:t>Training Organisations) first.</w:t>
      </w:r>
    </w:p>
    <w:p w14:paraId="6FCC62CC" w14:textId="587052C3" w:rsidR="00DF4A34" w:rsidRPr="000E7839" w:rsidRDefault="000E7839" w:rsidP="000E7839">
      <w:pPr>
        <w:pStyle w:val="NormalWeb"/>
        <w:shd w:val="clear" w:color="auto" w:fill="FFFFFF"/>
        <w:spacing w:before="0" w:beforeAutospacing="0" w:after="165" w:afterAutospacing="0"/>
        <w:rPr>
          <w:rFonts w:ascii="Arial" w:hAnsi="Arial" w:cs="Arial"/>
          <w:sz w:val="22"/>
          <w:szCs w:val="22"/>
          <w:shd w:val="clear" w:color="auto" w:fill="FFFFFF"/>
        </w:rPr>
      </w:pPr>
      <w:r w:rsidRPr="000E7839">
        <w:rPr>
          <w:rFonts w:ascii="Arial" w:hAnsi="Arial" w:cs="Arial"/>
          <w:sz w:val="22"/>
          <w:szCs w:val="22"/>
          <w:shd w:val="clear" w:color="auto" w:fill="FFFFFF"/>
        </w:rPr>
        <w:t>On completion of due diligence</w:t>
      </w:r>
      <w:r w:rsidR="00C92E5B">
        <w:rPr>
          <w:rFonts w:ascii="Arial" w:hAnsi="Arial" w:cs="Arial"/>
          <w:sz w:val="22"/>
          <w:szCs w:val="22"/>
          <w:shd w:val="clear" w:color="auto" w:fill="FFFFFF"/>
        </w:rPr>
        <w:t>,</w:t>
      </w:r>
      <w:r w:rsidRPr="000E7839">
        <w:rPr>
          <w:rFonts w:ascii="Arial" w:hAnsi="Arial" w:cs="Arial"/>
          <w:sz w:val="22"/>
          <w:szCs w:val="22"/>
          <w:shd w:val="clear" w:color="auto" w:fill="FFFFFF"/>
        </w:rPr>
        <w:t xml:space="preserve"> Apprentify will review all evidence requirements as stated within this policy to determine the risk and compliance.</w:t>
      </w:r>
    </w:p>
    <w:p w14:paraId="1B68FE9A" w14:textId="68B20C5B" w:rsidR="000E7839" w:rsidRPr="000E7839" w:rsidRDefault="000E7839" w:rsidP="000E7839">
      <w:pPr>
        <w:rPr>
          <w:sz w:val="22"/>
          <w:szCs w:val="22"/>
        </w:rPr>
      </w:pPr>
      <w:r w:rsidRPr="000E7839">
        <w:rPr>
          <w:sz w:val="22"/>
          <w:szCs w:val="22"/>
        </w:rPr>
        <w:lastRenderedPageBreak/>
        <w:t xml:space="preserve">A management fee of between 15% and 20% is retained by </w:t>
      </w:r>
      <w:r w:rsidR="008F01F2">
        <w:rPr>
          <w:sz w:val="22"/>
          <w:szCs w:val="22"/>
        </w:rPr>
        <w:t>Apprentify</w:t>
      </w:r>
      <w:r w:rsidRPr="000E7839">
        <w:rPr>
          <w:sz w:val="22"/>
          <w:szCs w:val="22"/>
        </w:rPr>
        <w:t xml:space="preserve"> from all subcontracted provision</w:t>
      </w:r>
      <w:r w:rsidR="0025005C">
        <w:rPr>
          <w:sz w:val="22"/>
          <w:szCs w:val="22"/>
        </w:rPr>
        <w:t>, however this can vary dependant on the level of support required.</w:t>
      </w:r>
      <w:r w:rsidRPr="000E7839">
        <w:rPr>
          <w:sz w:val="22"/>
          <w:szCs w:val="22"/>
        </w:rPr>
        <w:t xml:space="preserve"> This fee is calculated against the assessment of risk, calculated from the due diligence process and level of management intervention associated with the subcontractor.</w:t>
      </w:r>
    </w:p>
    <w:p w14:paraId="2811D970" w14:textId="77777777" w:rsidR="0025005C" w:rsidRDefault="0025005C" w:rsidP="000E7839">
      <w:pPr>
        <w:rPr>
          <w:sz w:val="22"/>
          <w:szCs w:val="22"/>
        </w:rPr>
      </w:pPr>
    </w:p>
    <w:p w14:paraId="0E474690" w14:textId="166E2E70" w:rsidR="000E7839" w:rsidRPr="000E7839" w:rsidRDefault="000E7839" w:rsidP="000E7839">
      <w:pPr>
        <w:rPr>
          <w:sz w:val="22"/>
          <w:szCs w:val="22"/>
        </w:rPr>
      </w:pPr>
      <w:r w:rsidRPr="000E7839">
        <w:rPr>
          <w:sz w:val="22"/>
          <w:szCs w:val="22"/>
        </w:rPr>
        <w:t>The management fee retained by Apprentify will cover:</w:t>
      </w:r>
    </w:p>
    <w:p w14:paraId="5F6AC479" w14:textId="77777777" w:rsidR="000E7839" w:rsidRPr="000E7839" w:rsidRDefault="000E7839" w:rsidP="002B4744">
      <w:pPr>
        <w:pStyle w:val="NoSpacing"/>
        <w:numPr>
          <w:ilvl w:val="0"/>
          <w:numId w:val="6"/>
        </w:numPr>
        <w:jc w:val="left"/>
        <w:rPr>
          <w:sz w:val="22"/>
          <w:szCs w:val="22"/>
        </w:rPr>
      </w:pPr>
      <w:r w:rsidRPr="000E7839">
        <w:rPr>
          <w:sz w:val="22"/>
          <w:szCs w:val="22"/>
        </w:rPr>
        <w:t>All administration including learner data input onto the MIS (BUD Learner Management System).</w:t>
      </w:r>
    </w:p>
    <w:p w14:paraId="1E003EB6" w14:textId="77777777" w:rsidR="000E7839" w:rsidRPr="000E7839" w:rsidRDefault="000E7839" w:rsidP="002B4744">
      <w:pPr>
        <w:pStyle w:val="NoSpacing"/>
        <w:numPr>
          <w:ilvl w:val="0"/>
          <w:numId w:val="6"/>
        </w:numPr>
        <w:jc w:val="left"/>
        <w:rPr>
          <w:sz w:val="22"/>
          <w:szCs w:val="22"/>
        </w:rPr>
      </w:pPr>
      <w:r w:rsidRPr="000E7839">
        <w:rPr>
          <w:sz w:val="22"/>
          <w:szCs w:val="22"/>
        </w:rPr>
        <w:t xml:space="preserve">Financial ILR submissions to the ESFA via MIS (BUD Learner Management System). </w:t>
      </w:r>
    </w:p>
    <w:p w14:paraId="0A727D0D" w14:textId="77777777" w:rsidR="000E7839" w:rsidRPr="000E7839" w:rsidRDefault="000E7839" w:rsidP="002B4744">
      <w:pPr>
        <w:pStyle w:val="NoSpacing"/>
        <w:numPr>
          <w:ilvl w:val="0"/>
          <w:numId w:val="6"/>
        </w:numPr>
        <w:jc w:val="left"/>
        <w:rPr>
          <w:sz w:val="22"/>
          <w:szCs w:val="22"/>
        </w:rPr>
      </w:pPr>
      <w:r w:rsidRPr="000E7839">
        <w:rPr>
          <w:sz w:val="22"/>
          <w:szCs w:val="22"/>
        </w:rPr>
        <w:t>Compliance audits including management of progress and success rates.</w:t>
      </w:r>
    </w:p>
    <w:p w14:paraId="65340049" w14:textId="467F670A" w:rsidR="000E7839" w:rsidRPr="000E7839" w:rsidRDefault="000E7839" w:rsidP="002B4744">
      <w:pPr>
        <w:pStyle w:val="NoSpacing"/>
        <w:numPr>
          <w:ilvl w:val="0"/>
          <w:numId w:val="6"/>
        </w:numPr>
        <w:jc w:val="left"/>
        <w:rPr>
          <w:sz w:val="22"/>
          <w:szCs w:val="22"/>
        </w:rPr>
      </w:pPr>
      <w:r w:rsidRPr="000E7839">
        <w:rPr>
          <w:sz w:val="22"/>
          <w:szCs w:val="22"/>
        </w:rPr>
        <w:t>Management of subcontracted provision in line with Funding and Performance management rules</w:t>
      </w:r>
      <w:r w:rsidR="00FE5987">
        <w:rPr>
          <w:sz w:val="22"/>
          <w:szCs w:val="22"/>
        </w:rPr>
        <w:t>.</w:t>
      </w:r>
      <w:r w:rsidRPr="000E7839">
        <w:rPr>
          <w:sz w:val="22"/>
          <w:szCs w:val="22"/>
        </w:rPr>
        <w:t xml:space="preserve"> </w:t>
      </w:r>
    </w:p>
    <w:p w14:paraId="16FBE2F0" w14:textId="2DCB6602" w:rsidR="000E7839" w:rsidRPr="000E7839" w:rsidRDefault="000E7839" w:rsidP="002B4744">
      <w:pPr>
        <w:pStyle w:val="NoSpacing"/>
        <w:numPr>
          <w:ilvl w:val="0"/>
          <w:numId w:val="6"/>
        </w:numPr>
        <w:jc w:val="left"/>
        <w:rPr>
          <w:sz w:val="22"/>
          <w:szCs w:val="22"/>
        </w:rPr>
      </w:pPr>
      <w:r w:rsidRPr="000E7839">
        <w:rPr>
          <w:sz w:val="22"/>
          <w:szCs w:val="22"/>
        </w:rPr>
        <w:t>Management reports</w:t>
      </w:r>
      <w:r w:rsidR="00FE5987">
        <w:rPr>
          <w:sz w:val="22"/>
          <w:szCs w:val="22"/>
        </w:rPr>
        <w:t>.</w:t>
      </w:r>
      <w:r w:rsidRPr="000E7839">
        <w:rPr>
          <w:sz w:val="22"/>
          <w:szCs w:val="22"/>
        </w:rPr>
        <w:t xml:space="preserve"> </w:t>
      </w:r>
    </w:p>
    <w:p w14:paraId="583DD2AC" w14:textId="6F153589" w:rsidR="000E7839" w:rsidRPr="000E7839" w:rsidRDefault="000E7839" w:rsidP="002B4744">
      <w:pPr>
        <w:pStyle w:val="NoSpacing"/>
        <w:numPr>
          <w:ilvl w:val="0"/>
          <w:numId w:val="6"/>
        </w:numPr>
        <w:jc w:val="left"/>
        <w:rPr>
          <w:sz w:val="22"/>
          <w:szCs w:val="22"/>
        </w:rPr>
      </w:pPr>
      <w:r w:rsidRPr="000E7839">
        <w:rPr>
          <w:sz w:val="22"/>
          <w:szCs w:val="22"/>
        </w:rPr>
        <w:t>Performance meetings</w:t>
      </w:r>
      <w:r w:rsidR="00FE5987">
        <w:rPr>
          <w:sz w:val="22"/>
          <w:szCs w:val="22"/>
        </w:rPr>
        <w:t>.</w:t>
      </w:r>
      <w:r w:rsidRPr="000E7839">
        <w:rPr>
          <w:sz w:val="22"/>
          <w:szCs w:val="22"/>
        </w:rPr>
        <w:t xml:space="preserve"> </w:t>
      </w:r>
    </w:p>
    <w:p w14:paraId="56C8073F" w14:textId="5B97CEEA" w:rsidR="000E7839" w:rsidRPr="000E7839" w:rsidRDefault="000E7839" w:rsidP="002B4744">
      <w:pPr>
        <w:pStyle w:val="NoSpacing"/>
        <w:numPr>
          <w:ilvl w:val="0"/>
          <w:numId w:val="6"/>
        </w:numPr>
        <w:jc w:val="left"/>
        <w:rPr>
          <w:sz w:val="22"/>
          <w:szCs w:val="22"/>
        </w:rPr>
      </w:pPr>
      <w:r w:rsidRPr="000E7839">
        <w:rPr>
          <w:sz w:val="22"/>
          <w:szCs w:val="22"/>
        </w:rPr>
        <w:t>Observation of delivery staff and learner experience</w:t>
      </w:r>
      <w:r w:rsidR="005237B6">
        <w:rPr>
          <w:sz w:val="22"/>
          <w:szCs w:val="22"/>
        </w:rPr>
        <w:t>.</w:t>
      </w:r>
      <w:r w:rsidRPr="000E7839">
        <w:rPr>
          <w:sz w:val="22"/>
          <w:szCs w:val="22"/>
        </w:rPr>
        <w:t xml:space="preserve"> </w:t>
      </w:r>
      <w:r w:rsidR="005237B6">
        <w:rPr>
          <w:sz w:val="22"/>
          <w:szCs w:val="22"/>
        </w:rPr>
        <w:t>T</w:t>
      </w:r>
      <w:r w:rsidR="005237B6" w:rsidRPr="000E7839">
        <w:rPr>
          <w:sz w:val="22"/>
          <w:szCs w:val="22"/>
        </w:rPr>
        <w:t>he</w:t>
      </w:r>
      <w:r w:rsidRPr="000E7839">
        <w:rPr>
          <w:sz w:val="22"/>
          <w:szCs w:val="22"/>
        </w:rPr>
        <w:t xml:space="preserve"> management fee will be reviewed annually and altered (if applicable) in accordance with management and performance activity.</w:t>
      </w:r>
    </w:p>
    <w:p w14:paraId="52CAD1E7" w14:textId="0E337238" w:rsidR="000E7839" w:rsidRPr="000E7839" w:rsidRDefault="000E7839" w:rsidP="002B4744">
      <w:pPr>
        <w:pStyle w:val="NoSpacing"/>
        <w:numPr>
          <w:ilvl w:val="0"/>
          <w:numId w:val="6"/>
        </w:numPr>
        <w:jc w:val="left"/>
        <w:rPr>
          <w:sz w:val="22"/>
          <w:szCs w:val="22"/>
        </w:rPr>
      </w:pPr>
      <w:r w:rsidRPr="000E7839">
        <w:rPr>
          <w:sz w:val="22"/>
          <w:szCs w:val="22"/>
        </w:rPr>
        <w:t>Management of subcontracted provision in line with Funding and Performance management rules</w:t>
      </w:r>
      <w:r w:rsidR="008F01F2">
        <w:rPr>
          <w:sz w:val="22"/>
          <w:szCs w:val="22"/>
        </w:rPr>
        <w:t>.</w:t>
      </w:r>
      <w:r w:rsidRPr="000E7839">
        <w:rPr>
          <w:sz w:val="22"/>
          <w:szCs w:val="22"/>
        </w:rPr>
        <w:t xml:space="preserve"> </w:t>
      </w:r>
    </w:p>
    <w:p w14:paraId="49E378D6" w14:textId="61896A87" w:rsidR="000E7839" w:rsidRDefault="000E7839" w:rsidP="000E7839">
      <w:pPr>
        <w:pStyle w:val="NoSpacing"/>
        <w:rPr>
          <w:sz w:val="22"/>
          <w:szCs w:val="22"/>
        </w:rPr>
      </w:pPr>
    </w:p>
    <w:p w14:paraId="6FC89B00" w14:textId="1BF83BE8" w:rsidR="005237B6" w:rsidRDefault="005237B6" w:rsidP="000E7839">
      <w:pPr>
        <w:pStyle w:val="NoSpacing"/>
        <w:rPr>
          <w:sz w:val="22"/>
          <w:szCs w:val="22"/>
        </w:rPr>
      </w:pPr>
      <w:r>
        <w:rPr>
          <w:sz w:val="22"/>
          <w:szCs w:val="22"/>
        </w:rPr>
        <w:t>Apprentify will make monthly payments to subcontractors based on the correct submission of data and supporting evidence to validate learning delivery.</w:t>
      </w:r>
    </w:p>
    <w:p w14:paraId="1D1EF61F" w14:textId="47D4B7A3" w:rsidR="0025005C" w:rsidRDefault="0025005C" w:rsidP="000E7839">
      <w:pPr>
        <w:pStyle w:val="NoSpacing"/>
        <w:rPr>
          <w:sz w:val="22"/>
          <w:szCs w:val="22"/>
        </w:rPr>
      </w:pPr>
    </w:p>
    <w:p w14:paraId="4695C0C8" w14:textId="161B7ECD" w:rsidR="0025005C" w:rsidRDefault="0025005C" w:rsidP="000E7839">
      <w:pPr>
        <w:pStyle w:val="NoSpacing"/>
        <w:rPr>
          <w:sz w:val="22"/>
          <w:szCs w:val="22"/>
        </w:rPr>
      </w:pPr>
      <w:r>
        <w:rPr>
          <w:sz w:val="22"/>
          <w:szCs w:val="22"/>
        </w:rPr>
        <w:t>The ESFA will retain 20% of funding until the learning aim has been successfully achieved. Learner achievement will be claimed once all necessary evidence and paperwork has been submitted to Apprentify.</w:t>
      </w:r>
    </w:p>
    <w:p w14:paraId="37DC2A4E" w14:textId="144FD625" w:rsidR="001218F4" w:rsidRDefault="001218F4" w:rsidP="000E7839">
      <w:pPr>
        <w:pStyle w:val="NoSpacing"/>
        <w:rPr>
          <w:sz w:val="22"/>
          <w:szCs w:val="22"/>
        </w:rPr>
      </w:pPr>
    </w:p>
    <w:p w14:paraId="55D6FAD1" w14:textId="14E4F005" w:rsidR="001218F4" w:rsidRPr="001218F4" w:rsidRDefault="001218F4" w:rsidP="000E7839">
      <w:pPr>
        <w:pStyle w:val="NoSpacing"/>
        <w:rPr>
          <w:b/>
          <w:bCs/>
          <w:sz w:val="22"/>
          <w:szCs w:val="22"/>
        </w:rPr>
      </w:pPr>
      <w:r w:rsidRPr="001218F4">
        <w:rPr>
          <w:b/>
          <w:bCs/>
        </w:rPr>
        <w:t>Apprentify may not further sub-contract provision, this is referred to as 2nd Tier Sub Contracting, which Apprentify does not condone under any circumstances unless first approved by the ESFA.</w:t>
      </w:r>
    </w:p>
    <w:p w14:paraId="619E93C8" w14:textId="77777777" w:rsidR="00FE5987" w:rsidRDefault="00FE5987" w:rsidP="000E7839">
      <w:pPr>
        <w:pStyle w:val="NoSpacing"/>
        <w:rPr>
          <w:color w:val="F0A22E" w:themeColor="accent1"/>
          <w:sz w:val="32"/>
          <w:szCs w:val="32"/>
        </w:rPr>
      </w:pPr>
    </w:p>
    <w:p w14:paraId="2336BDE5" w14:textId="02A3D13C" w:rsidR="000E7839" w:rsidRPr="000E7839" w:rsidRDefault="000E7839" w:rsidP="000E7839">
      <w:pPr>
        <w:pStyle w:val="NoSpacing"/>
        <w:rPr>
          <w:color w:val="F0A22E" w:themeColor="accent1"/>
          <w:sz w:val="32"/>
          <w:szCs w:val="32"/>
        </w:rPr>
      </w:pPr>
      <w:r w:rsidRPr="000E7839">
        <w:rPr>
          <w:color w:val="F0A22E" w:themeColor="accent1"/>
          <w:sz w:val="32"/>
          <w:szCs w:val="32"/>
        </w:rPr>
        <w:t>Financial Health Assessment</w:t>
      </w:r>
    </w:p>
    <w:p w14:paraId="061FB9BC" w14:textId="77777777" w:rsidR="000E7839" w:rsidRPr="000E7839" w:rsidRDefault="000E7839" w:rsidP="000E7839">
      <w:pPr>
        <w:pStyle w:val="NoSpacing"/>
        <w:rPr>
          <w:sz w:val="22"/>
          <w:szCs w:val="22"/>
        </w:rPr>
      </w:pPr>
    </w:p>
    <w:p w14:paraId="0A2515FA" w14:textId="77777777" w:rsidR="000E7839" w:rsidRPr="000E7839" w:rsidRDefault="000E7839" w:rsidP="000E7839">
      <w:pPr>
        <w:pStyle w:val="NoSpacing"/>
        <w:rPr>
          <w:sz w:val="22"/>
          <w:szCs w:val="22"/>
        </w:rPr>
      </w:pPr>
      <w:r w:rsidRPr="000E7839">
        <w:rPr>
          <w:sz w:val="22"/>
          <w:szCs w:val="22"/>
        </w:rPr>
        <w:t xml:space="preserve">Apprentify undertakes a financial health assessment of all subcontractors to mitigate the risk in terms of capacity and capability to deliver. </w:t>
      </w:r>
    </w:p>
    <w:p w14:paraId="4BC8BF88" w14:textId="77777777" w:rsidR="000E7839" w:rsidRPr="000E7839" w:rsidRDefault="000E7839" w:rsidP="000E7839">
      <w:pPr>
        <w:pStyle w:val="NoSpacing"/>
        <w:rPr>
          <w:sz w:val="22"/>
          <w:szCs w:val="22"/>
        </w:rPr>
      </w:pPr>
    </w:p>
    <w:p w14:paraId="6F68A895" w14:textId="77777777" w:rsidR="000E7839" w:rsidRPr="000E7839" w:rsidRDefault="000E7839" w:rsidP="000E7839">
      <w:pPr>
        <w:pStyle w:val="NoSpacing"/>
        <w:rPr>
          <w:sz w:val="22"/>
          <w:szCs w:val="22"/>
        </w:rPr>
      </w:pPr>
      <w:r w:rsidRPr="000E7839">
        <w:rPr>
          <w:sz w:val="22"/>
          <w:szCs w:val="22"/>
        </w:rPr>
        <w:t>Before provision is agreed, due diligence and scrutiny of policies is undertaken to obtain sufficient information to satisfy Apprentify that the subcontractor has the potential to deliver high quality services to Apprentify learners.</w:t>
      </w:r>
    </w:p>
    <w:p w14:paraId="1D1856B7" w14:textId="77777777" w:rsidR="000E7839" w:rsidRPr="000E7839" w:rsidRDefault="000E7839" w:rsidP="000E7839">
      <w:pPr>
        <w:pStyle w:val="NoSpacing"/>
        <w:rPr>
          <w:sz w:val="22"/>
          <w:szCs w:val="22"/>
        </w:rPr>
      </w:pPr>
    </w:p>
    <w:p w14:paraId="0FA196C4" w14:textId="56A46883" w:rsidR="0079738A" w:rsidRPr="000E7839" w:rsidRDefault="000E7839" w:rsidP="000E7839">
      <w:pPr>
        <w:pStyle w:val="NoSpacing"/>
        <w:rPr>
          <w:sz w:val="22"/>
          <w:szCs w:val="22"/>
        </w:rPr>
      </w:pPr>
      <w:r w:rsidRPr="000E7839">
        <w:rPr>
          <w:sz w:val="22"/>
          <w:szCs w:val="22"/>
        </w:rPr>
        <w:t>It is the responsibility of the sub-contractor to advise of any material change to its circumstances in terms of financial status, OFSTED grade, awarding body sanction etc, which would revise the outcome of the initial due diligence assessment.</w:t>
      </w:r>
    </w:p>
    <w:p w14:paraId="3BAA584C" w14:textId="760C19DB" w:rsidR="000E7839" w:rsidRDefault="000E7839" w:rsidP="000E7839">
      <w:pPr>
        <w:pStyle w:val="NoSpacing"/>
        <w:rPr>
          <w:sz w:val="22"/>
          <w:szCs w:val="22"/>
        </w:rPr>
      </w:pPr>
    </w:p>
    <w:p w14:paraId="1A47898D" w14:textId="2E416A1C" w:rsidR="007505E5" w:rsidRDefault="007505E5" w:rsidP="007505E5">
      <w:pPr>
        <w:pStyle w:val="NoSpacing"/>
        <w:rPr>
          <w:color w:val="F0A22E" w:themeColor="accent1"/>
          <w:sz w:val="32"/>
          <w:szCs w:val="32"/>
        </w:rPr>
      </w:pPr>
      <w:r w:rsidRPr="007505E5">
        <w:rPr>
          <w:color w:val="F0A22E" w:themeColor="accent1"/>
          <w:sz w:val="32"/>
          <w:szCs w:val="32"/>
        </w:rPr>
        <w:t>Quality Assurance</w:t>
      </w:r>
    </w:p>
    <w:p w14:paraId="1E908C97" w14:textId="2458139B" w:rsidR="007505E5" w:rsidRDefault="007505E5" w:rsidP="007505E5">
      <w:pPr>
        <w:pStyle w:val="NoSpacing"/>
        <w:rPr>
          <w:color w:val="F0A22E" w:themeColor="accent1"/>
          <w:sz w:val="32"/>
          <w:szCs w:val="32"/>
        </w:rPr>
      </w:pPr>
    </w:p>
    <w:p w14:paraId="6A67CCA4" w14:textId="54A69354" w:rsidR="001218F4" w:rsidRDefault="007505E5" w:rsidP="001218F4">
      <w:pPr>
        <w:rPr>
          <w:color w:val="333333"/>
          <w:shd w:val="clear" w:color="auto" w:fill="FFFFFF"/>
        </w:rPr>
      </w:pPr>
      <w:r w:rsidRPr="005550CE">
        <w:rPr>
          <w:color w:val="333333"/>
          <w:sz w:val="22"/>
          <w:szCs w:val="22"/>
          <w:shd w:val="clear" w:color="auto" w:fill="FFFFFF"/>
        </w:rPr>
        <w:t>Apprentify expects high standards of teaching, learning and assessment, outcomes and progression from subcontractors. We will visit subcontractors to carry out quality checks and ensure that they are meeting these standards.</w:t>
      </w:r>
      <w:r>
        <w:rPr>
          <w:color w:val="333333"/>
          <w:shd w:val="clear" w:color="auto" w:fill="FFFFFF"/>
        </w:rPr>
        <w:t xml:space="preserve"> Apprentify is committed to supporting, developing and sharing good practice and professional development of staff through quality reviews, operational meetings, observation of teaching and training, developmental deep dives and learner and employer feedback.</w:t>
      </w:r>
    </w:p>
    <w:p w14:paraId="156ED2DD" w14:textId="77777777" w:rsidR="00C92E5B" w:rsidRDefault="00C92E5B" w:rsidP="001218F4">
      <w:pPr>
        <w:rPr>
          <w:color w:val="333333"/>
          <w:shd w:val="clear" w:color="auto" w:fill="FFFFFF"/>
        </w:rPr>
      </w:pPr>
    </w:p>
    <w:p w14:paraId="75DA1004" w14:textId="7E5F9B35" w:rsidR="001218F4" w:rsidRPr="001218F4" w:rsidRDefault="001218F4" w:rsidP="001218F4">
      <w:pPr>
        <w:rPr>
          <w:sz w:val="22"/>
          <w:szCs w:val="22"/>
          <w:lang w:val="en-US"/>
        </w:rPr>
      </w:pPr>
      <w:r>
        <w:rPr>
          <w:color w:val="333333"/>
          <w:shd w:val="clear" w:color="auto" w:fill="FFFFFF"/>
        </w:rPr>
        <w:t>Apprentify will work with the Subcontractor to improve their overall quality and highlight opportunities to increase the quality of teaching, learning and assessment in line with OFSTED, awarding body, funding body and general good practice.</w:t>
      </w:r>
    </w:p>
    <w:p w14:paraId="3EC7191D" w14:textId="632337A4" w:rsidR="00FD4C48" w:rsidRDefault="00FD4C48" w:rsidP="007505E5">
      <w:pPr>
        <w:pStyle w:val="NoSpacing"/>
        <w:rPr>
          <w:color w:val="F0A22E" w:themeColor="accent1"/>
          <w:sz w:val="32"/>
          <w:szCs w:val="32"/>
        </w:rPr>
      </w:pPr>
    </w:p>
    <w:p w14:paraId="4757699C" w14:textId="370188BF" w:rsidR="00856468" w:rsidRDefault="001218F4" w:rsidP="007505E5">
      <w:pPr>
        <w:pStyle w:val="NoSpacing"/>
        <w:rPr>
          <w:color w:val="F0A22E" w:themeColor="accent1"/>
          <w:sz w:val="32"/>
          <w:szCs w:val="32"/>
        </w:rPr>
      </w:pPr>
      <w:r>
        <w:t xml:space="preserve">Quality Assurance and </w:t>
      </w:r>
      <w:r w:rsidR="00F0451E">
        <w:t>Observation of Teaching, Learning and Assessment (OTLA)</w:t>
      </w:r>
      <w:r>
        <w:t xml:space="preserve"> will involve both prearranged and unannounced visits with the Subcontractor in order to sample records. </w:t>
      </w:r>
      <w:r w:rsidR="00F0451E">
        <w:t>OTLA</w:t>
      </w:r>
      <w:r w:rsidR="00B4373B">
        <w:t>’s</w:t>
      </w:r>
      <w:r>
        <w:t xml:space="preserve"> will take place an</w:t>
      </w:r>
      <w:r w:rsidR="00F0451E">
        <w:t>d</w:t>
      </w:r>
      <w:r>
        <w:t xml:space="preserve"> may include joint visits to observe a member of their delivery staff, both of these visits are to ensure that they meet Apprentify’s reporting, statutory and quality assurance requirements.</w:t>
      </w:r>
    </w:p>
    <w:p w14:paraId="38D5AFBD" w14:textId="78C3C557" w:rsidR="00856468" w:rsidRDefault="00856468" w:rsidP="007505E5">
      <w:pPr>
        <w:pStyle w:val="NoSpacing"/>
        <w:rPr>
          <w:color w:val="F0A22E" w:themeColor="accent1"/>
          <w:sz w:val="32"/>
          <w:szCs w:val="32"/>
        </w:rPr>
      </w:pPr>
    </w:p>
    <w:p w14:paraId="48D840DE" w14:textId="3009140C" w:rsidR="001218F4" w:rsidRDefault="00EB5FFD" w:rsidP="001218F4">
      <w:pPr>
        <w:pStyle w:val="NoSpacing"/>
        <w:rPr>
          <w:color w:val="F0A22E" w:themeColor="accent1"/>
          <w:sz w:val="32"/>
          <w:szCs w:val="32"/>
        </w:rPr>
      </w:pPr>
      <w:r>
        <w:rPr>
          <w:color w:val="F0A22E" w:themeColor="accent1"/>
          <w:sz w:val="32"/>
          <w:szCs w:val="32"/>
        </w:rPr>
        <w:t>External Assurance on Subcontracting</w:t>
      </w:r>
    </w:p>
    <w:p w14:paraId="6752DEE2" w14:textId="77777777" w:rsidR="00AB7E4E" w:rsidRDefault="00AB7E4E" w:rsidP="001218F4">
      <w:pPr>
        <w:pStyle w:val="NoSpacing"/>
        <w:rPr>
          <w:color w:val="F0A22E" w:themeColor="accent1"/>
          <w:sz w:val="32"/>
          <w:szCs w:val="32"/>
        </w:rPr>
      </w:pPr>
    </w:p>
    <w:p w14:paraId="09769917" w14:textId="51EBAD72" w:rsidR="00856468" w:rsidRPr="00DF4A34" w:rsidRDefault="00EB5FFD" w:rsidP="007505E5">
      <w:pPr>
        <w:pStyle w:val="NoSpacing"/>
      </w:pPr>
      <w:r w:rsidRPr="00DF4A34">
        <w:t>For each academic year the ESFA require Apprentify to obtain a report from an external auditor on our arrangement to manage and control our delivery subcontractors. This is specified in paragraph P214 from the 2021/2022 funding rules below.</w:t>
      </w:r>
    </w:p>
    <w:p w14:paraId="5969DC2F" w14:textId="4D30D4E2" w:rsidR="00EB5FFD" w:rsidRPr="00042173" w:rsidRDefault="00EB5FFD" w:rsidP="007505E5">
      <w:pPr>
        <w:pStyle w:val="NoSpacing"/>
        <w:rPr>
          <w:sz w:val="22"/>
          <w:szCs w:val="22"/>
        </w:rPr>
      </w:pPr>
    </w:p>
    <w:p w14:paraId="12210979" w14:textId="77777777" w:rsidR="00EB5FFD" w:rsidRPr="00042173" w:rsidRDefault="00EB5FFD" w:rsidP="007505E5">
      <w:pPr>
        <w:pStyle w:val="NoSpacing"/>
        <w:rPr>
          <w:i/>
          <w:iCs/>
        </w:rPr>
      </w:pPr>
      <w:r w:rsidRPr="00042173">
        <w:rPr>
          <w:i/>
          <w:iCs/>
        </w:rPr>
        <w:t>P214 In accordance with your ESFA contract(s) you must obtain an annual report from an external auditor if the aggregate total of all subcontractors delivering ESFA funded provision on your behalf exceeds or is anticipated to exceed £100,000 in any single funding year. Whilst otherwise excluded from these rules, for the purposes of calculation of aggregate total of subcontractor delivery you must include delivery of all non-apprenticeships provision.</w:t>
      </w:r>
    </w:p>
    <w:p w14:paraId="728ED8FC" w14:textId="6D272771" w:rsidR="00EB5FFD" w:rsidRPr="00042173" w:rsidRDefault="00EB5FFD" w:rsidP="007505E5">
      <w:pPr>
        <w:pStyle w:val="NoSpacing"/>
        <w:rPr>
          <w:i/>
          <w:iCs/>
        </w:rPr>
      </w:pPr>
      <w:r w:rsidRPr="00042173">
        <w:rPr>
          <w:i/>
          <w:iCs/>
        </w:rPr>
        <w:t xml:space="preserve"> </w:t>
      </w:r>
    </w:p>
    <w:p w14:paraId="26A72C58" w14:textId="3AE9C91A" w:rsidR="001218F4" w:rsidRDefault="00EB5FFD" w:rsidP="007505E5">
      <w:pPr>
        <w:pStyle w:val="NoSpacing"/>
        <w:rPr>
          <w:i/>
          <w:iCs/>
        </w:rPr>
      </w:pPr>
      <w:r w:rsidRPr="00042173">
        <w:rPr>
          <w:i/>
          <w:iCs/>
        </w:rPr>
        <w:t>P215 You must supply us with a certificate signed by an external auditor and an authorised signatory to confirm you have received a report that provides assurance on the arrangements to manage and control your delivery subcontractors. You must send a copy of the external auditor’s final report including the action plan of agreed recommendations to subcontracting.requirements@education.gov.uk. The ESFA will review this as part of our overall assurance arrangements. The following link includes the certificate you must return, as well as guidance and information on expectations: Providing external assurance on subcontracting controls - GOV.UK (</w:t>
      </w:r>
      <w:hyperlink r:id="rId13" w:history="1">
        <w:r w:rsidR="00B40FDC" w:rsidRPr="005D2A87">
          <w:rPr>
            <w:rStyle w:val="Hyperlink"/>
            <w:i/>
            <w:iCs/>
          </w:rPr>
          <w:t>www.gov.uk</w:t>
        </w:r>
      </w:hyperlink>
      <w:r w:rsidRPr="00042173">
        <w:rPr>
          <w:i/>
          <w:iCs/>
        </w:rPr>
        <w:t>)</w:t>
      </w:r>
    </w:p>
    <w:p w14:paraId="20A59A82" w14:textId="19CDE0AB" w:rsidR="00B40FDC" w:rsidRDefault="00B40FDC" w:rsidP="007505E5">
      <w:pPr>
        <w:pStyle w:val="NoSpacing"/>
        <w:rPr>
          <w:i/>
          <w:iCs/>
        </w:rPr>
      </w:pPr>
    </w:p>
    <w:p w14:paraId="0869D1A3" w14:textId="713D6BBA" w:rsidR="00B40FDC" w:rsidRDefault="00B40FDC" w:rsidP="00B40FDC">
      <w:pPr>
        <w:pStyle w:val="NoSpacing"/>
        <w:rPr>
          <w:color w:val="F0A22E" w:themeColor="accent1"/>
          <w:sz w:val="32"/>
          <w:szCs w:val="32"/>
        </w:rPr>
      </w:pPr>
      <w:r>
        <w:rPr>
          <w:color w:val="F0A22E" w:themeColor="accent1"/>
          <w:sz w:val="32"/>
          <w:szCs w:val="32"/>
        </w:rPr>
        <w:t>Audit &amp; Data</w:t>
      </w:r>
    </w:p>
    <w:p w14:paraId="5C5AA06D" w14:textId="77777777" w:rsidR="00AB7E4E" w:rsidRDefault="00AB7E4E" w:rsidP="00B40FDC">
      <w:pPr>
        <w:pStyle w:val="NoSpacing"/>
        <w:rPr>
          <w:color w:val="F0A22E" w:themeColor="accent1"/>
          <w:sz w:val="32"/>
          <w:szCs w:val="32"/>
        </w:rPr>
      </w:pPr>
    </w:p>
    <w:p w14:paraId="0A30AD02" w14:textId="39C16174" w:rsidR="00B40FDC" w:rsidRDefault="00B40FDC" w:rsidP="007505E5">
      <w:pPr>
        <w:pStyle w:val="NoSpacing"/>
      </w:pPr>
      <w:r>
        <w:t>The ESFA have the right to audit all documentation in relation to the sub contracted provision. A satisfactory audit is essential to avoid loss of funding through claw back or termination of contracts. Controls to ensure no double funding include:</w:t>
      </w:r>
    </w:p>
    <w:p w14:paraId="2FD56D63" w14:textId="29D23BC5" w:rsidR="00B40FDC" w:rsidRDefault="00B40FDC" w:rsidP="007505E5">
      <w:pPr>
        <w:pStyle w:val="NoSpacing"/>
      </w:pPr>
    </w:p>
    <w:p w14:paraId="014BAF04" w14:textId="17618401" w:rsidR="00B40FDC" w:rsidRPr="00B40FDC" w:rsidRDefault="00B40FDC" w:rsidP="00B40FDC">
      <w:pPr>
        <w:pStyle w:val="NoSpacing"/>
        <w:numPr>
          <w:ilvl w:val="0"/>
          <w:numId w:val="11"/>
        </w:numPr>
        <w:rPr>
          <w:i/>
          <w:iCs/>
        </w:rPr>
      </w:pPr>
      <w:r>
        <w:t>DSATS and BI Tools are used to test integrity of data</w:t>
      </w:r>
    </w:p>
    <w:p w14:paraId="1311DFC0" w14:textId="32255819" w:rsidR="00B40FDC" w:rsidRPr="00B40FDC" w:rsidRDefault="00B40FDC" w:rsidP="00B40FDC">
      <w:pPr>
        <w:pStyle w:val="NoSpacing"/>
        <w:numPr>
          <w:ilvl w:val="0"/>
          <w:numId w:val="11"/>
        </w:numPr>
        <w:rPr>
          <w:i/>
          <w:iCs/>
        </w:rPr>
      </w:pPr>
      <w:r>
        <w:t>Gaining information on other prime contractors at due diligence stage</w:t>
      </w:r>
    </w:p>
    <w:p w14:paraId="280934D8" w14:textId="1D59C5E1" w:rsidR="00B40FDC" w:rsidRPr="002E788F" w:rsidRDefault="00B40FDC" w:rsidP="007505E5">
      <w:pPr>
        <w:pStyle w:val="NoSpacing"/>
        <w:numPr>
          <w:ilvl w:val="0"/>
          <w:numId w:val="11"/>
        </w:numPr>
        <w:rPr>
          <w:i/>
          <w:iCs/>
        </w:rPr>
      </w:pPr>
      <w:r>
        <w:t>Monthly DSATS testing</w:t>
      </w:r>
    </w:p>
    <w:p w14:paraId="18091372" w14:textId="2F3BB390" w:rsidR="002E788F" w:rsidRDefault="002E788F" w:rsidP="002E788F">
      <w:pPr>
        <w:pStyle w:val="NoSpacing"/>
      </w:pPr>
    </w:p>
    <w:p w14:paraId="39540980" w14:textId="1D4FF4AD" w:rsidR="002E788F" w:rsidRDefault="002E788F" w:rsidP="002E788F">
      <w:pPr>
        <w:pStyle w:val="NoSpacing"/>
        <w:rPr>
          <w:color w:val="F0A22E" w:themeColor="accent1"/>
          <w:sz w:val="32"/>
          <w:szCs w:val="32"/>
        </w:rPr>
      </w:pPr>
      <w:r>
        <w:rPr>
          <w:color w:val="F0A22E" w:themeColor="accent1"/>
          <w:sz w:val="32"/>
          <w:szCs w:val="32"/>
        </w:rPr>
        <w:t>Communication</w:t>
      </w:r>
    </w:p>
    <w:p w14:paraId="37AE4B95" w14:textId="77777777" w:rsidR="0092054A" w:rsidRDefault="0092054A" w:rsidP="002E788F">
      <w:pPr>
        <w:pStyle w:val="NoSpacing"/>
        <w:rPr>
          <w:sz w:val="22"/>
          <w:szCs w:val="22"/>
        </w:rPr>
      </w:pPr>
    </w:p>
    <w:p w14:paraId="4A111DDA" w14:textId="2370C124" w:rsidR="002E788F" w:rsidRDefault="002E788F" w:rsidP="002E788F">
      <w:pPr>
        <w:pStyle w:val="NoSpacing"/>
        <w:rPr>
          <w:sz w:val="22"/>
          <w:szCs w:val="22"/>
        </w:rPr>
      </w:pPr>
      <w:r>
        <w:rPr>
          <w:sz w:val="22"/>
          <w:szCs w:val="22"/>
        </w:rPr>
        <w:t>Apprentify communicates with our subcontractors through:</w:t>
      </w:r>
    </w:p>
    <w:p w14:paraId="1F85F177" w14:textId="56EC4F52" w:rsidR="002E788F" w:rsidRDefault="002E788F" w:rsidP="002E788F">
      <w:pPr>
        <w:pStyle w:val="NoSpacing"/>
        <w:numPr>
          <w:ilvl w:val="0"/>
          <w:numId w:val="13"/>
        </w:numPr>
        <w:rPr>
          <w:sz w:val="22"/>
          <w:szCs w:val="22"/>
        </w:rPr>
      </w:pPr>
      <w:r>
        <w:rPr>
          <w:sz w:val="22"/>
          <w:szCs w:val="22"/>
        </w:rPr>
        <w:t>Meetings</w:t>
      </w:r>
      <w:r w:rsidR="0092054A">
        <w:rPr>
          <w:sz w:val="22"/>
          <w:szCs w:val="22"/>
        </w:rPr>
        <w:t xml:space="preserve"> Face to Face/Virtual Meetings</w:t>
      </w:r>
    </w:p>
    <w:p w14:paraId="66C503EB" w14:textId="16A1D963" w:rsidR="002E788F" w:rsidRDefault="002E788F" w:rsidP="002E788F">
      <w:pPr>
        <w:pStyle w:val="NoSpacing"/>
        <w:numPr>
          <w:ilvl w:val="0"/>
          <w:numId w:val="13"/>
        </w:numPr>
        <w:rPr>
          <w:sz w:val="22"/>
          <w:szCs w:val="22"/>
        </w:rPr>
      </w:pPr>
      <w:r>
        <w:rPr>
          <w:sz w:val="22"/>
          <w:szCs w:val="22"/>
        </w:rPr>
        <w:t>Phone</w:t>
      </w:r>
      <w:r w:rsidR="0092054A">
        <w:rPr>
          <w:sz w:val="22"/>
          <w:szCs w:val="22"/>
        </w:rPr>
        <w:t xml:space="preserve"> calls</w:t>
      </w:r>
    </w:p>
    <w:p w14:paraId="5A1D7644" w14:textId="5ACC1411" w:rsidR="0092054A" w:rsidRDefault="0092054A" w:rsidP="002E788F">
      <w:pPr>
        <w:pStyle w:val="NoSpacing"/>
        <w:numPr>
          <w:ilvl w:val="0"/>
          <w:numId w:val="13"/>
        </w:numPr>
        <w:rPr>
          <w:sz w:val="22"/>
          <w:szCs w:val="22"/>
        </w:rPr>
      </w:pPr>
      <w:r>
        <w:rPr>
          <w:sz w:val="22"/>
          <w:szCs w:val="22"/>
        </w:rPr>
        <w:t>Emails</w:t>
      </w:r>
    </w:p>
    <w:p w14:paraId="6ACFF80E" w14:textId="2C0EDA2D" w:rsidR="002E788F" w:rsidRDefault="0092054A" w:rsidP="00C92E5B">
      <w:pPr>
        <w:pStyle w:val="NoSpacing"/>
        <w:numPr>
          <w:ilvl w:val="0"/>
          <w:numId w:val="13"/>
        </w:numPr>
        <w:rPr>
          <w:sz w:val="22"/>
          <w:szCs w:val="22"/>
        </w:rPr>
      </w:pPr>
      <w:r>
        <w:rPr>
          <w:sz w:val="22"/>
          <w:szCs w:val="22"/>
        </w:rPr>
        <w:t>Review and OTLA meetings</w:t>
      </w:r>
    </w:p>
    <w:p w14:paraId="50D4B342" w14:textId="30755392" w:rsidR="00C92E5B" w:rsidRDefault="00C92E5B" w:rsidP="00DF4A34">
      <w:pPr>
        <w:pStyle w:val="NoSpacing"/>
        <w:ind w:left="720"/>
        <w:rPr>
          <w:sz w:val="22"/>
          <w:szCs w:val="22"/>
        </w:rPr>
      </w:pPr>
    </w:p>
    <w:p w14:paraId="2013C2C9" w14:textId="0CB6DE61" w:rsidR="00DF4A34" w:rsidRDefault="00DF4A34" w:rsidP="00DF4A34">
      <w:pPr>
        <w:pStyle w:val="NoSpacing"/>
        <w:ind w:left="720"/>
        <w:rPr>
          <w:sz w:val="22"/>
          <w:szCs w:val="22"/>
        </w:rPr>
      </w:pPr>
    </w:p>
    <w:p w14:paraId="5E7DF392" w14:textId="27FB5C58" w:rsidR="00DF4A34" w:rsidRDefault="00DF4A34" w:rsidP="00DF4A34">
      <w:pPr>
        <w:pStyle w:val="NoSpacing"/>
        <w:ind w:left="720"/>
        <w:rPr>
          <w:sz w:val="22"/>
          <w:szCs w:val="22"/>
        </w:rPr>
      </w:pPr>
    </w:p>
    <w:p w14:paraId="180B6AEA" w14:textId="091156E6" w:rsidR="002E788F" w:rsidRPr="001135F2" w:rsidRDefault="002E788F" w:rsidP="002E788F">
      <w:pPr>
        <w:pStyle w:val="NoSpacing"/>
        <w:rPr>
          <w:sz w:val="24"/>
          <w:szCs w:val="24"/>
        </w:rPr>
      </w:pPr>
    </w:p>
    <w:p w14:paraId="5E90C7C1" w14:textId="322F8AE4" w:rsidR="002E788F" w:rsidRDefault="002E788F" w:rsidP="002E788F">
      <w:pPr>
        <w:pStyle w:val="NoSpacing"/>
        <w:rPr>
          <w:sz w:val="22"/>
          <w:szCs w:val="22"/>
        </w:rPr>
      </w:pPr>
      <w:r w:rsidRPr="001135F2">
        <w:rPr>
          <w:sz w:val="22"/>
          <w:szCs w:val="22"/>
        </w:rPr>
        <w:lastRenderedPageBreak/>
        <w:t xml:space="preserve">It is important to maintain regular contact with our subcontractors to ensure that: </w:t>
      </w:r>
    </w:p>
    <w:p w14:paraId="64F024F1" w14:textId="77777777" w:rsidR="00C92E5B" w:rsidRPr="001135F2" w:rsidRDefault="00C92E5B" w:rsidP="002E788F">
      <w:pPr>
        <w:pStyle w:val="NoSpacing"/>
        <w:rPr>
          <w:sz w:val="22"/>
          <w:szCs w:val="22"/>
        </w:rPr>
      </w:pPr>
    </w:p>
    <w:p w14:paraId="48D156AA" w14:textId="176745BA" w:rsidR="002E788F" w:rsidRPr="001135F2" w:rsidRDefault="002E788F" w:rsidP="0092054A">
      <w:pPr>
        <w:pStyle w:val="NoSpacing"/>
        <w:numPr>
          <w:ilvl w:val="0"/>
          <w:numId w:val="16"/>
        </w:numPr>
        <w:rPr>
          <w:sz w:val="22"/>
          <w:szCs w:val="22"/>
        </w:rPr>
      </w:pPr>
      <w:r w:rsidRPr="001135F2">
        <w:rPr>
          <w:sz w:val="22"/>
          <w:szCs w:val="22"/>
        </w:rPr>
        <w:t xml:space="preserve">All students are progressing to achieve their qualification in a timely manner. </w:t>
      </w:r>
    </w:p>
    <w:p w14:paraId="0A847489" w14:textId="6FEAB3A1" w:rsidR="002E788F" w:rsidRPr="001135F2" w:rsidRDefault="002E788F" w:rsidP="0092054A">
      <w:pPr>
        <w:pStyle w:val="NoSpacing"/>
        <w:numPr>
          <w:ilvl w:val="0"/>
          <w:numId w:val="16"/>
        </w:numPr>
        <w:rPr>
          <w:sz w:val="22"/>
          <w:szCs w:val="22"/>
        </w:rPr>
      </w:pPr>
      <w:r w:rsidRPr="001135F2">
        <w:rPr>
          <w:sz w:val="22"/>
          <w:szCs w:val="22"/>
        </w:rPr>
        <w:t xml:space="preserve">Identify any problems or concerns that either party may have identified </w:t>
      </w:r>
    </w:p>
    <w:p w14:paraId="7BC48E9C" w14:textId="19FA1722" w:rsidR="002E788F" w:rsidRPr="001135F2" w:rsidRDefault="002E788F" w:rsidP="0092054A">
      <w:pPr>
        <w:pStyle w:val="NoSpacing"/>
        <w:numPr>
          <w:ilvl w:val="0"/>
          <w:numId w:val="16"/>
        </w:numPr>
        <w:rPr>
          <w:sz w:val="22"/>
          <w:szCs w:val="22"/>
        </w:rPr>
      </w:pPr>
      <w:r w:rsidRPr="001135F2">
        <w:rPr>
          <w:sz w:val="22"/>
          <w:szCs w:val="22"/>
        </w:rPr>
        <w:t xml:space="preserve">Ensure all programmes are delivered according to funding and quality regulations Correspondence from these meetings, retained for auditing purposes, are: </w:t>
      </w:r>
    </w:p>
    <w:p w14:paraId="16FA61B7" w14:textId="2A563FB5" w:rsidR="002E788F" w:rsidRPr="001135F2" w:rsidRDefault="002E788F" w:rsidP="0092054A">
      <w:pPr>
        <w:pStyle w:val="NoSpacing"/>
        <w:numPr>
          <w:ilvl w:val="0"/>
          <w:numId w:val="16"/>
        </w:numPr>
        <w:rPr>
          <w:sz w:val="22"/>
          <w:szCs w:val="22"/>
        </w:rPr>
      </w:pPr>
      <w:r w:rsidRPr="001135F2">
        <w:rPr>
          <w:sz w:val="22"/>
          <w:szCs w:val="22"/>
        </w:rPr>
        <w:t xml:space="preserve">Notes / minutes of meetings both internally with Manager/Board and with our Subcontractor </w:t>
      </w:r>
    </w:p>
    <w:p w14:paraId="31F384C5" w14:textId="49D6B9C0" w:rsidR="002E788F" w:rsidRPr="001135F2" w:rsidRDefault="002E788F" w:rsidP="0092054A">
      <w:pPr>
        <w:pStyle w:val="NoSpacing"/>
        <w:numPr>
          <w:ilvl w:val="0"/>
          <w:numId w:val="16"/>
        </w:numPr>
        <w:rPr>
          <w:sz w:val="22"/>
          <w:szCs w:val="22"/>
        </w:rPr>
      </w:pPr>
      <w:r w:rsidRPr="001135F2">
        <w:rPr>
          <w:sz w:val="22"/>
          <w:szCs w:val="22"/>
        </w:rPr>
        <w:t xml:space="preserve">Records of e-mails, correspondence etc. </w:t>
      </w:r>
    </w:p>
    <w:p w14:paraId="3EF6FD53" w14:textId="4DA0E107" w:rsidR="002E788F" w:rsidRPr="001135F2" w:rsidRDefault="002E788F" w:rsidP="0092054A">
      <w:pPr>
        <w:pStyle w:val="NoSpacing"/>
        <w:numPr>
          <w:ilvl w:val="0"/>
          <w:numId w:val="16"/>
        </w:numPr>
        <w:rPr>
          <w:sz w:val="22"/>
          <w:szCs w:val="22"/>
        </w:rPr>
      </w:pPr>
      <w:r w:rsidRPr="001135F2">
        <w:rPr>
          <w:sz w:val="22"/>
          <w:szCs w:val="22"/>
        </w:rPr>
        <w:t xml:space="preserve">Notes from audit / monitoring visits kept on file and shared with the Subcontractor </w:t>
      </w:r>
    </w:p>
    <w:p w14:paraId="6924EE56" w14:textId="4110242D" w:rsidR="001218F4" w:rsidRPr="00DF4A34" w:rsidRDefault="002E788F" w:rsidP="007505E5">
      <w:pPr>
        <w:pStyle w:val="NoSpacing"/>
        <w:numPr>
          <w:ilvl w:val="0"/>
          <w:numId w:val="16"/>
        </w:numPr>
        <w:rPr>
          <w:sz w:val="24"/>
          <w:szCs w:val="24"/>
        </w:rPr>
      </w:pPr>
      <w:r w:rsidRPr="001135F2">
        <w:rPr>
          <w:sz w:val="22"/>
          <w:szCs w:val="22"/>
        </w:rPr>
        <w:t>Observations of teaching, learning and assessment</w:t>
      </w:r>
    </w:p>
    <w:p w14:paraId="2348A6B8" w14:textId="77777777" w:rsidR="00C92E5B" w:rsidRPr="001135F2" w:rsidRDefault="00C92E5B" w:rsidP="00DF4A34">
      <w:pPr>
        <w:pStyle w:val="NoSpacing"/>
        <w:ind w:left="720"/>
        <w:rPr>
          <w:sz w:val="24"/>
          <w:szCs w:val="24"/>
        </w:rPr>
      </w:pPr>
    </w:p>
    <w:p w14:paraId="0126358B" w14:textId="14FEF583" w:rsidR="00180BF8" w:rsidRDefault="00180BF8" w:rsidP="007505E5">
      <w:pPr>
        <w:pStyle w:val="NoSpacing"/>
        <w:rPr>
          <w:color w:val="F0A22E" w:themeColor="accent1"/>
          <w:sz w:val="32"/>
          <w:szCs w:val="32"/>
        </w:rPr>
      </w:pPr>
      <w:r>
        <w:rPr>
          <w:color w:val="F0A22E" w:themeColor="accent1"/>
          <w:sz w:val="32"/>
          <w:szCs w:val="32"/>
        </w:rPr>
        <w:t>Subcontractors</w:t>
      </w:r>
    </w:p>
    <w:p w14:paraId="141D5851" w14:textId="3F837E53" w:rsidR="00180BF8" w:rsidRDefault="00180BF8" w:rsidP="007505E5">
      <w:pPr>
        <w:pStyle w:val="NoSpacing"/>
        <w:rPr>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180BF8" w14:paraId="14BCFBFC" w14:textId="77777777" w:rsidTr="004C2F92">
        <w:tc>
          <w:tcPr>
            <w:tcW w:w="2254" w:type="dxa"/>
          </w:tcPr>
          <w:p w14:paraId="0165724E" w14:textId="77777777" w:rsidR="00180BF8" w:rsidRDefault="00180BF8" w:rsidP="004C2F92">
            <w:pPr>
              <w:rPr>
                <w:lang w:val="en-US"/>
              </w:rPr>
            </w:pPr>
            <w:r>
              <w:rPr>
                <w:lang w:val="en-US"/>
              </w:rPr>
              <w:t>Contract Year</w:t>
            </w:r>
          </w:p>
        </w:tc>
        <w:tc>
          <w:tcPr>
            <w:tcW w:w="2254" w:type="dxa"/>
          </w:tcPr>
          <w:p w14:paraId="2BDEC798" w14:textId="77777777" w:rsidR="00180BF8" w:rsidRDefault="00180BF8" w:rsidP="004C2F92">
            <w:pPr>
              <w:rPr>
                <w:lang w:val="en-US"/>
              </w:rPr>
            </w:pPr>
            <w:r>
              <w:rPr>
                <w:lang w:val="en-US"/>
              </w:rPr>
              <w:t>Sub-Contractor Name</w:t>
            </w:r>
          </w:p>
        </w:tc>
        <w:tc>
          <w:tcPr>
            <w:tcW w:w="2254" w:type="dxa"/>
          </w:tcPr>
          <w:p w14:paraId="1C9BE0F9" w14:textId="77777777" w:rsidR="00180BF8" w:rsidRDefault="00180BF8" w:rsidP="004C2F92">
            <w:pPr>
              <w:rPr>
                <w:lang w:val="en-US"/>
              </w:rPr>
            </w:pPr>
            <w:r>
              <w:rPr>
                <w:lang w:val="en-US"/>
              </w:rPr>
              <w:t>UKPRN Number</w:t>
            </w:r>
          </w:p>
        </w:tc>
        <w:tc>
          <w:tcPr>
            <w:tcW w:w="2254" w:type="dxa"/>
          </w:tcPr>
          <w:p w14:paraId="23126BC4" w14:textId="5AAC8D81" w:rsidR="00180BF8" w:rsidRDefault="0073386D" w:rsidP="004C2F92">
            <w:pPr>
              <w:rPr>
                <w:lang w:val="en-US"/>
              </w:rPr>
            </w:pPr>
            <w:r>
              <w:rPr>
                <w:lang w:val="en-US"/>
              </w:rPr>
              <w:t>RoATP</w:t>
            </w:r>
          </w:p>
        </w:tc>
      </w:tr>
      <w:tr w:rsidR="00180BF8" w14:paraId="26F46AC4" w14:textId="77777777" w:rsidTr="004C2F92">
        <w:tc>
          <w:tcPr>
            <w:tcW w:w="2254" w:type="dxa"/>
          </w:tcPr>
          <w:p w14:paraId="311BB01A" w14:textId="172D4B57" w:rsidR="00180BF8" w:rsidRDefault="00156747" w:rsidP="004C2F92">
            <w:pPr>
              <w:rPr>
                <w:lang w:val="en-US"/>
              </w:rPr>
            </w:pPr>
            <w:r>
              <w:rPr>
                <w:lang w:val="en-US"/>
              </w:rPr>
              <w:t>2020/2021</w:t>
            </w:r>
          </w:p>
        </w:tc>
        <w:tc>
          <w:tcPr>
            <w:tcW w:w="2254" w:type="dxa"/>
          </w:tcPr>
          <w:p w14:paraId="5DF6506B" w14:textId="7FE2ABEA" w:rsidR="0073386D" w:rsidRPr="0073386D" w:rsidRDefault="0073386D" w:rsidP="0073386D">
            <w:pPr>
              <w:rPr>
                <w:color w:val="000000"/>
                <w:sz w:val="22"/>
                <w:szCs w:val="22"/>
                <w:lang w:eastAsia="en-GB"/>
              </w:rPr>
            </w:pPr>
            <w:r w:rsidRPr="0073386D">
              <w:rPr>
                <w:color w:val="000000"/>
                <w:sz w:val="22"/>
                <w:szCs w:val="22"/>
              </w:rPr>
              <w:t>TANGERINE PARTNERSHIP LIMITED</w:t>
            </w:r>
            <w:r>
              <w:rPr>
                <w:color w:val="000000"/>
                <w:sz w:val="22"/>
                <w:szCs w:val="22"/>
              </w:rPr>
              <w:t xml:space="preserve"> </w:t>
            </w:r>
            <w:r w:rsidRPr="0073386D">
              <w:rPr>
                <w:color w:val="000000"/>
                <w:sz w:val="22"/>
                <w:szCs w:val="22"/>
              </w:rPr>
              <w:t>T/A</w:t>
            </w:r>
            <w:r>
              <w:rPr>
                <w:color w:val="000000"/>
                <w:sz w:val="22"/>
                <w:szCs w:val="22"/>
              </w:rPr>
              <w:t xml:space="preserve"> </w:t>
            </w:r>
            <w:r w:rsidRPr="0073386D">
              <w:rPr>
                <w:color w:val="000000"/>
                <w:sz w:val="22"/>
                <w:szCs w:val="22"/>
              </w:rPr>
              <w:t>THE JUICE ACADEMY</w:t>
            </w:r>
          </w:p>
          <w:p w14:paraId="0E3FA476" w14:textId="50F2DC69" w:rsidR="00180BF8" w:rsidRPr="0073386D" w:rsidRDefault="00180BF8" w:rsidP="004C2F92">
            <w:pPr>
              <w:rPr>
                <w:lang w:val="en-US"/>
              </w:rPr>
            </w:pPr>
          </w:p>
        </w:tc>
        <w:tc>
          <w:tcPr>
            <w:tcW w:w="2254" w:type="dxa"/>
          </w:tcPr>
          <w:p w14:paraId="3A94F7E1" w14:textId="074D0852" w:rsidR="00180BF8" w:rsidRDefault="00156747" w:rsidP="004C2F92">
            <w:pPr>
              <w:rPr>
                <w:lang w:val="en-US"/>
              </w:rPr>
            </w:pPr>
            <w:r>
              <w:rPr>
                <w:lang w:val="en-US"/>
              </w:rPr>
              <w:t>10041124</w:t>
            </w:r>
          </w:p>
        </w:tc>
        <w:tc>
          <w:tcPr>
            <w:tcW w:w="2254" w:type="dxa"/>
          </w:tcPr>
          <w:p w14:paraId="7FF64CFC" w14:textId="10419DEA" w:rsidR="00180BF8" w:rsidRDefault="0073386D" w:rsidP="004C2F92">
            <w:pPr>
              <w:rPr>
                <w:lang w:val="en-US"/>
              </w:rPr>
            </w:pPr>
            <w:r>
              <w:rPr>
                <w:lang w:val="en-US"/>
              </w:rPr>
              <w:t>Supporting Provider</w:t>
            </w:r>
          </w:p>
        </w:tc>
      </w:tr>
      <w:tr w:rsidR="00156747" w14:paraId="62FF06C0" w14:textId="77777777" w:rsidTr="004C2F92">
        <w:tc>
          <w:tcPr>
            <w:tcW w:w="2254" w:type="dxa"/>
          </w:tcPr>
          <w:p w14:paraId="5AA02E86" w14:textId="75BA5EB5" w:rsidR="00156747" w:rsidRDefault="00156747" w:rsidP="004C2F92">
            <w:pPr>
              <w:rPr>
                <w:lang w:val="en-US"/>
              </w:rPr>
            </w:pPr>
            <w:r>
              <w:rPr>
                <w:lang w:val="en-US"/>
              </w:rPr>
              <w:t>2019/2020</w:t>
            </w:r>
          </w:p>
        </w:tc>
        <w:tc>
          <w:tcPr>
            <w:tcW w:w="2254" w:type="dxa"/>
          </w:tcPr>
          <w:p w14:paraId="22329262" w14:textId="77777777" w:rsidR="0073386D" w:rsidRPr="0073386D" w:rsidRDefault="0073386D" w:rsidP="0073386D">
            <w:pPr>
              <w:rPr>
                <w:color w:val="000000"/>
                <w:sz w:val="22"/>
                <w:szCs w:val="22"/>
                <w:lang w:eastAsia="en-GB"/>
              </w:rPr>
            </w:pPr>
            <w:r w:rsidRPr="0073386D">
              <w:rPr>
                <w:color w:val="000000"/>
                <w:sz w:val="22"/>
                <w:szCs w:val="22"/>
              </w:rPr>
              <w:t>TANGERINE PARTNERSHIP LIMITED T/A THE JUICE ACADEMY</w:t>
            </w:r>
          </w:p>
          <w:p w14:paraId="4E25A33F" w14:textId="229F3CBE" w:rsidR="00156747" w:rsidRPr="0073386D" w:rsidRDefault="00156747" w:rsidP="004C2F92">
            <w:pPr>
              <w:rPr>
                <w:lang w:val="en-US"/>
              </w:rPr>
            </w:pPr>
          </w:p>
        </w:tc>
        <w:tc>
          <w:tcPr>
            <w:tcW w:w="2254" w:type="dxa"/>
          </w:tcPr>
          <w:p w14:paraId="14F47631" w14:textId="0C62B19F" w:rsidR="00156747" w:rsidRDefault="00156747" w:rsidP="004C2F92">
            <w:pPr>
              <w:rPr>
                <w:lang w:val="en-US"/>
              </w:rPr>
            </w:pPr>
            <w:r>
              <w:rPr>
                <w:lang w:val="en-US"/>
              </w:rPr>
              <w:t>10041124</w:t>
            </w:r>
          </w:p>
        </w:tc>
        <w:tc>
          <w:tcPr>
            <w:tcW w:w="2254" w:type="dxa"/>
          </w:tcPr>
          <w:p w14:paraId="0166E22A" w14:textId="6EDC0F37" w:rsidR="00156747" w:rsidRDefault="0073386D" w:rsidP="004C2F92">
            <w:pPr>
              <w:rPr>
                <w:lang w:val="en-US"/>
              </w:rPr>
            </w:pPr>
            <w:r>
              <w:rPr>
                <w:lang w:val="en-US"/>
              </w:rPr>
              <w:t>Supporting Provider</w:t>
            </w:r>
          </w:p>
        </w:tc>
      </w:tr>
      <w:tr w:rsidR="0060535C" w14:paraId="4697F9BF" w14:textId="77777777" w:rsidTr="004C2F92">
        <w:tc>
          <w:tcPr>
            <w:tcW w:w="2254" w:type="dxa"/>
          </w:tcPr>
          <w:p w14:paraId="41F5009E" w14:textId="48266F6D" w:rsidR="0060535C" w:rsidRDefault="0060535C" w:rsidP="004C2F92">
            <w:pPr>
              <w:rPr>
                <w:lang w:val="en-US"/>
              </w:rPr>
            </w:pPr>
            <w:r>
              <w:rPr>
                <w:lang w:val="en-US"/>
              </w:rPr>
              <w:t>2021/2022</w:t>
            </w:r>
          </w:p>
        </w:tc>
        <w:tc>
          <w:tcPr>
            <w:tcW w:w="2254" w:type="dxa"/>
          </w:tcPr>
          <w:p w14:paraId="6526B03C" w14:textId="77777777" w:rsidR="0060535C" w:rsidRPr="0073386D" w:rsidRDefault="0060535C" w:rsidP="0060535C">
            <w:pPr>
              <w:rPr>
                <w:color w:val="000000"/>
                <w:sz w:val="22"/>
                <w:szCs w:val="22"/>
                <w:lang w:eastAsia="en-GB"/>
              </w:rPr>
            </w:pPr>
            <w:r w:rsidRPr="0073386D">
              <w:rPr>
                <w:color w:val="000000"/>
                <w:sz w:val="22"/>
                <w:szCs w:val="22"/>
              </w:rPr>
              <w:t>TANGERINE PARTNERSHIP LIMITED T/A THE JUICE ACADEMY</w:t>
            </w:r>
          </w:p>
          <w:p w14:paraId="6F258224" w14:textId="77777777" w:rsidR="0060535C" w:rsidRPr="0073386D" w:rsidRDefault="0060535C" w:rsidP="0073386D">
            <w:pPr>
              <w:rPr>
                <w:color w:val="000000"/>
                <w:sz w:val="22"/>
                <w:szCs w:val="22"/>
              </w:rPr>
            </w:pPr>
          </w:p>
        </w:tc>
        <w:tc>
          <w:tcPr>
            <w:tcW w:w="2254" w:type="dxa"/>
          </w:tcPr>
          <w:p w14:paraId="0CFE89A1" w14:textId="3885DBED" w:rsidR="0060535C" w:rsidRDefault="0060535C" w:rsidP="004C2F92">
            <w:pPr>
              <w:rPr>
                <w:lang w:val="en-US"/>
              </w:rPr>
            </w:pPr>
            <w:r>
              <w:rPr>
                <w:lang w:val="en-US"/>
              </w:rPr>
              <w:t>10041124</w:t>
            </w:r>
          </w:p>
        </w:tc>
        <w:tc>
          <w:tcPr>
            <w:tcW w:w="2254" w:type="dxa"/>
          </w:tcPr>
          <w:p w14:paraId="1BF2A45B" w14:textId="2BD907AC" w:rsidR="0060535C" w:rsidRDefault="0060535C" w:rsidP="004C2F92">
            <w:pPr>
              <w:rPr>
                <w:lang w:val="en-US"/>
              </w:rPr>
            </w:pPr>
            <w:r>
              <w:rPr>
                <w:lang w:val="en-US"/>
              </w:rPr>
              <w:t>Supporting Provider</w:t>
            </w:r>
          </w:p>
        </w:tc>
      </w:tr>
    </w:tbl>
    <w:p w14:paraId="661FE3A1" w14:textId="706C9630" w:rsidR="00042173" w:rsidRDefault="00042173" w:rsidP="00A16A4A"/>
    <w:p w14:paraId="10CAB590" w14:textId="77777777" w:rsidR="00042173" w:rsidRPr="00A16A4A" w:rsidRDefault="00042173" w:rsidP="00A16A4A"/>
    <w:p w14:paraId="4F6D7C7B" w14:textId="268AA03B" w:rsidR="00965C23" w:rsidRDefault="00965C23" w:rsidP="00965C23">
      <w:pPr>
        <w:pStyle w:val="Heading1"/>
        <w:numPr>
          <w:ilvl w:val="0"/>
          <w:numId w:val="0"/>
        </w:numPr>
        <w:ind w:left="432" w:hanging="432"/>
        <w:rPr>
          <w:b w:val="0"/>
          <w:bCs/>
          <w:color w:val="F0A22E" w:themeColor="accent1"/>
          <w:sz w:val="32"/>
          <w:szCs w:val="32"/>
        </w:rPr>
      </w:pPr>
      <w:r w:rsidRPr="000E7839">
        <w:rPr>
          <w:b w:val="0"/>
          <w:bCs/>
          <w:color w:val="F0A22E" w:themeColor="accent1"/>
          <w:sz w:val="32"/>
          <w:szCs w:val="32"/>
        </w:rPr>
        <w:t>Review</w:t>
      </w:r>
    </w:p>
    <w:p w14:paraId="51F4D5E5" w14:textId="77777777" w:rsidR="000E7839" w:rsidRPr="000E7839" w:rsidRDefault="000E7839" w:rsidP="000E7839"/>
    <w:p w14:paraId="104C2F0B" w14:textId="10EFEDF6" w:rsidR="000E7839" w:rsidRPr="000E7839" w:rsidRDefault="00DF4278" w:rsidP="000E7839">
      <w:pPr>
        <w:pStyle w:val="NoSpacing"/>
        <w:rPr>
          <w:sz w:val="22"/>
          <w:szCs w:val="22"/>
        </w:rPr>
      </w:pPr>
      <w:r>
        <w:rPr>
          <w:sz w:val="22"/>
          <w:szCs w:val="22"/>
        </w:rPr>
        <w:t xml:space="preserve">This policy will be disseminated to </w:t>
      </w:r>
      <w:r w:rsidR="00AB7E4E">
        <w:rPr>
          <w:sz w:val="22"/>
          <w:szCs w:val="22"/>
        </w:rPr>
        <w:t xml:space="preserve">our </w:t>
      </w:r>
      <w:r>
        <w:rPr>
          <w:sz w:val="22"/>
          <w:szCs w:val="22"/>
        </w:rPr>
        <w:t>current subcontractor</w:t>
      </w:r>
      <w:r w:rsidR="00C92E5B">
        <w:rPr>
          <w:sz w:val="22"/>
          <w:szCs w:val="22"/>
        </w:rPr>
        <w:t xml:space="preserve">s </w:t>
      </w:r>
      <w:r>
        <w:rPr>
          <w:sz w:val="22"/>
          <w:szCs w:val="22"/>
        </w:rPr>
        <w:t>via email and website link. Any potential subcontractors will be made aware of the policy at the outset. This policy will be reviewed annually and approved by the Apprentify board. It may be reviewed in year as needed to reflect any changes in Education Skills Funding Agency rules. Any changes to this policy mid-contact will be discussed with subcontractor. The policy will be published on the Apprentify website.</w:t>
      </w:r>
    </w:p>
    <w:p w14:paraId="364D4BE8" w14:textId="77777777" w:rsidR="00965C23" w:rsidRPr="000E7839" w:rsidRDefault="00965C23" w:rsidP="00965C23">
      <w:pPr>
        <w:rPr>
          <w:sz w:val="22"/>
          <w:szCs w:val="22"/>
        </w:rPr>
      </w:pPr>
    </w:p>
    <w:p w14:paraId="0B44008A" w14:textId="4AD55ACA" w:rsidR="00C73D80" w:rsidRPr="000E7839" w:rsidRDefault="00C73D80" w:rsidP="00C73D80">
      <w:pPr>
        <w:rPr>
          <w:sz w:val="22"/>
          <w:szCs w:val="22"/>
          <w:lang w:val="en-US" w:eastAsia="ja-JP"/>
        </w:rPr>
      </w:pPr>
    </w:p>
    <w:bookmarkEnd w:id="0"/>
    <w:bookmarkEnd w:id="1"/>
    <w:bookmarkEnd w:id="2"/>
    <w:p w14:paraId="6CD0EDB8" w14:textId="77777777" w:rsidR="00C73D80" w:rsidRPr="000E7839" w:rsidRDefault="00C73D80" w:rsidP="00C73D80">
      <w:pPr>
        <w:rPr>
          <w:sz w:val="22"/>
          <w:szCs w:val="22"/>
          <w:lang w:val="en-US" w:eastAsia="ja-JP"/>
        </w:rPr>
      </w:pPr>
    </w:p>
    <w:sectPr w:rsidR="00C73D80" w:rsidRPr="000E7839" w:rsidSect="00C73D80">
      <w:headerReference w:type="even" r:id="rId14"/>
      <w:headerReference w:type="default" r:id="rId15"/>
      <w:footerReference w:type="default" r:id="rId16"/>
      <w:headerReference w:type="first" r:id="rId17"/>
      <w:footerReference w:type="first" r:id="rId18"/>
      <w:pgSz w:w="11909" w:h="16834" w:code="9"/>
      <w:pgMar w:top="1871" w:right="1361" w:bottom="425" w:left="1361"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15C1" w14:textId="77777777" w:rsidR="00F71E81" w:rsidRDefault="00F71E81">
      <w:r>
        <w:separator/>
      </w:r>
    </w:p>
  </w:endnote>
  <w:endnote w:type="continuationSeparator" w:id="0">
    <w:p w14:paraId="191D048C" w14:textId="77777777" w:rsidR="00F71E81" w:rsidRDefault="00F71E81">
      <w:r>
        <w:continuationSeparator/>
      </w:r>
    </w:p>
  </w:endnote>
  <w:endnote w:type="continuationNotice" w:id="1">
    <w:p w14:paraId="172240B1" w14:textId="77777777" w:rsidR="00F71E81" w:rsidRDefault="00F7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ND Light">
    <w:charset w:val="00"/>
    <w:family w:val="swiss"/>
    <w:pitch w:val="variable"/>
    <w:sig w:usb0="80000027" w:usb1="00000040" w:usb2="00000000" w:usb3="00000000" w:csb0="00000011" w:csb1="00000000"/>
  </w:font>
  <w:font w:name="Futura ND Book">
    <w:altName w:val="Segoe UI"/>
    <w:charset w:val="00"/>
    <w:family w:val="swiss"/>
    <w:pitch w:val="variable"/>
    <w:sig w:usb0="80000867" w:usb1="0000004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C604" w14:textId="70353AA7" w:rsidR="00D75983" w:rsidRDefault="00D75983" w:rsidP="00470680"/>
  <w:p w14:paraId="2AFA8CA4" w14:textId="625553E3" w:rsidR="00D75983" w:rsidRPr="00470680" w:rsidRDefault="00D75983">
    <w:pPr>
      <w:pStyle w:val="Footer"/>
      <w:pBdr>
        <w:top w:val="single" w:sz="6" w:space="1" w:color="auto"/>
        <w:bottom w:val="single" w:sz="6" w:space="1" w:color="auto"/>
      </w:pBdr>
      <w:rPr>
        <w:rFonts w:ascii="Futura ND Book" w:hAnsi="Futura ND Book"/>
        <w:noProof/>
      </w:rPr>
    </w:pPr>
    <w:r>
      <w:rPr>
        <w:rFonts w:ascii="Futura ND Book" w:hAnsi="Futura ND Book"/>
      </w:rPr>
      <w:t>Apprentify</w:t>
    </w:r>
    <w:r w:rsidRPr="00470680">
      <w:rPr>
        <w:rFonts w:ascii="Futura ND Book" w:hAnsi="Futura ND Book"/>
      </w:rPr>
      <w:t xml:space="preserve"> Internal Use Only</w:t>
    </w:r>
    <w:r w:rsidRPr="00470680">
      <w:rPr>
        <w:rFonts w:ascii="Futura ND Book" w:hAnsi="Futura ND Book"/>
        <w:noProof/>
      </w:rPr>
      <w:ptab w:relativeTo="margin" w:alignment="center" w:leader="none"/>
    </w:r>
    <w:r w:rsidRPr="00470680">
      <w:rPr>
        <w:rFonts w:ascii="Futura ND Book" w:hAnsi="Futura ND Book"/>
      </w:rPr>
      <w:t xml:space="preserve">Page </w:t>
    </w:r>
    <w:r w:rsidRPr="00470680">
      <w:rPr>
        <w:rFonts w:ascii="Futura ND Book" w:hAnsi="Futura ND Book"/>
      </w:rPr>
      <w:fldChar w:fldCharType="begin"/>
    </w:r>
    <w:r w:rsidRPr="00470680">
      <w:rPr>
        <w:rFonts w:ascii="Futura ND Book" w:hAnsi="Futura ND Book"/>
      </w:rPr>
      <w:instrText xml:space="preserve"> PAGE </w:instrText>
    </w:r>
    <w:r w:rsidRPr="00470680">
      <w:rPr>
        <w:rFonts w:ascii="Futura ND Book" w:hAnsi="Futura ND Book"/>
      </w:rPr>
      <w:fldChar w:fldCharType="separate"/>
    </w:r>
    <w:r>
      <w:rPr>
        <w:rFonts w:ascii="Futura ND Book" w:hAnsi="Futura ND Book"/>
        <w:noProof/>
      </w:rPr>
      <w:t>4</w:t>
    </w:r>
    <w:r w:rsidRPr="00470680">
      <w:rPr>
        <w:rFonts w:ascii="Futura ND Book" w:hAnsi="Futura ND Book"/>
      </w:rPr>
      <w:fldChar w:fldCharType="end"/>
    </w:r>
    <w:r w:rsidRPr="00470680">
      <w:rPr>
        <w:rFonts w:ascii="Futura ND Book" w:hAnsi="Futura ND Book"/>
      </w:rPr>
      <w:t xml:space="preserve"> of </w:t>
    </w:r>
    <w:r w:rsidRPr="00470680">
      <w:rPr>
        <w:rFonts w:ascii="Futura ND Book" w:hAnsi="Futura ND Book"/>
      </w:rPr>
      <w:fldChar w:fldCharType="begin"/>
    </w:r>
    <w:r w:rsidRPr="00470680">
      <w:rPr>
        <w:rFonts w:ascii="Futura ND Book" w:hAnsi="Futura ND Book"/>
      </w:rPr>
      <w:instrText xml:space="preserve"> NUMPAGES </w:instrText>
    </w:r>
    <w:r w:rsidRPr="00470680">
      <w:rPr>
        <w:rFonts w:ascii="Futura ND Book" w:hAnsi="Futura ND Book"/>
      </w:rPr>
      <w:fldChar w:fldCharType="separate"/>
    </w:r>
    <w:r>
      <w:rPr>
        <w:rFonts w:ascii="Futura ND Book" w:hAnsi="Futura ND Book"/>
        <w:noProof/>
      </w:rPr>
      <w:t>5</w:t>
    </w:r>
    <w:r w:rsidRPr="00470680">
      <w:rPr>
        <w:rFonts w:ascii="Futura ND Book" w:hAnsi="Futura ND Book"/>
        <w:noProof/>
      </w:rPr>
      <w:fldChar w:fldCharType="end"/>
    </w:r>
    <w:r w:rsidRPr="00470680">
      <w:rPr>
        <w:rFonts w:ascii="Futura ND Book" w:hAnsi="Futura ND Book"/>
        <w:noProof/>
      </w:rPr>
      <w:ptab w:relativeTo="margin" w:alignment="right" w:leader="none"/>
    </w:r>
    <w:r w:rsidRPr="00470680">
      <w:rPr>
        <w:rFonts w:ascii="Futura ND Book" w:hAnsi="Futura ND Book"/>
        <w:noProof/>
      </w:rPr>
      <w:t xml:space="preserve">© </w:t>
    </w:r>
    <w:r>
      <w:rPr>
        <w:rFonts w:ascii="Futura ND Book" w:hAnsi="Futura ND Book"/>
        <w:noProof/>
      </w:rPr>
      <w:t>Apprentify</w:t>
    </w:r>
    <w:r w:rsidRPr="00470680">
      <w:rPr>
        <w:rFonts w:ascii="Futura ND Book" w:hAnsi="Futura ND Book"/>
        <w:noProof/>
      </w:rPr>
      <w:t xml:space="preserve"> </w:t>
    </w:r>
    <w:r w:rsidRPr="00470680">
      <w:rPr>
        <w:rFonts w:ascii="Futura ND Book" w:hAnsi="Futura ND Book"/>
      </w:rPr>
      <w:fldChar w:fldCharType="begin"/>
    </w:r>
    <w:r w:rsidRPr="00470680">
      <w:rPr>
        <w:rFonts w:ascii="Futura ND Book" w:hAnsi="Futura ND Book"/>
      </w:rPr>
      <w:instrText xml:space="preserve"> DATE \@ "yyyy" </w:instrText>
    </w:r>
    <w:r w:rsidRPr="00470680">
      <w:rPr>
        <w:rFonts w:ascii="Futura ND Book" w:hAnsi="Futura ND Book"/>
      </w:rPr>
      <w:fldChar w:fldCharType="separate"/>
    </w:r>
    <w:r w:rsidR="00DF4A34">
      <w:rPr>
        <w:rFonts w:ascii="Futura ND Book" w:hAnsi="Futura ND Book"/>
        <w:noProof/>
      </w:rPr>
      <w:t>2021</w:t>
    </w:r>
    <w:r w:rsidRPr="00470680">
      <w:rPr>
        <w:rFonts w:ascii="Futura ND Book" w:hAnsi="Futura ND Book"/>
        <w:noProof/>
      </w:rPr>
      <w:fldChar w:fldCharType="end"/>
    </w:r>
  </w:p>
  <w:p w14:paraId="68F23123" w14:textId="77777777" w:rsidR="00D75983" w:rsidRPr="008D7621" w:rsidRDefault="00D7598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1A6" w14:textId="77777777" w:rsidR="00D75983" w:rsidRPr="008D7621" w:rsidRDefault="00D75983">
    <w:pPr>
      <w:pStyle w:val="Footer"/>
      <w:tabs>
        <w:tab w:val="clear" w:pos="4153"/>
        <w:tab w:val="clear" w:pos="8306"/>
        <w:tab w:val="left" w:pos="4410"/>
      </w:tabs>
      <w:jc w:val="right"/>
      <w:rPr>
        <w:sz w:val="18"/>
        <w:szCs w:val="18"/>
      </w:rPr>
    </w:pPr>
  </w:p>
  <w:p w14:paraId="13215D1A" w14:textId="77777777" w:rsidR="00D75983" w:rsidRPr="008D7621" w:rsidRDefault="00D75983">
    <w:pPr>
      <w:pStyle w:val="Footer"/>
      <w:tabs>
        <w:tab w:val="clear" w:pos="4153"/>
        <w:tab w:val="clear" w:pos="8306"/>
        <w:tab w:val="left" w:pos="4410"/>
      </w:tabs>
      <w:rPr>
        <w:sz w:val="18"/>
        <w:szCs w:val="18"/>
      </w:rPr>
    </w:pPr>
  </w:p>
  <w:p w14:paraId="01FD623A" w14:textId="77777777" w:rsidR="00D75983" w:rsidRPr="008D7621" w:rsidRDefault="00D75983">
    <w:pPr>
      <w:pStyle w:val="Footer"/>
      <w:tabs>
        <w:tab w:val="clear" w:pos="4153"/>
        <w:tab w:val="clear" w:pos="8306"/>
        <w:tab w:val="left" w:pos="4410"/>
      </w:tabs>
      <w:rPr>
        <w:sz w:val="18"/>
        <w:szCs w:val="18"/>
      </w:rPr>
    </w:pPr>
    <w:r w:rsidRPr="008D7621">
      <w:rPr>
        <w:noProof/>
        <w:sz w:val="18"/>
        <w:szCs w:val="18"/>
        <w:lang w:eastAsia="en-GB"/>
      </w:rPr>
      <mc:AlternateContent>
        <mc:Choice Requires="wps">
          <w:drawing>
            <wp:anchor distT="0" distB="0" distL="114300" distR="114300" simplePos="0" relativeHeight="251646464" behindDoc="0" locked="0" layoutInCell="1" allowOverlap="1" wp14:anchorId="0A3597AB" wp14:editId="45081F89">
              <wp:simplePos x="0" y="0"/>
              <wp:positionH relativeFrom="page">
                <wp:posOffset>4561840</wp:posOffset>
              </wp:positionH>
              <wp:positionV relativeFrom="page">
                <wp:posOffset>10045065</wp:posOffset>
              </wp:positionV>
              <wp:extent cx="2057400" cy="647700"/>
              <wp:effectExtent l="0"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DB3D6" w14:textId="7DCF6E20" w:rsidR="00D75983" w:rsidRDefault="00D75983">
                          <w:pPr>
                            <w:pStyle w:val="Heading7"/>
                            <w:spacing w:before="0" w:after="0" w:line="160" w:lineRule="exact"/>
                            <w:rPr>
                              <w:b/>
                              <w:noProof/>
                              <w:vanish/>
                              <w:sz w:val="13"/>
                              <w:szCs w:val="14"/>
                            </w:rPr>
                          </w:pPr>
                          <w:r>
                            <w:rPr>
                              <w:b/>
                              <w:noProof/>
                              <w:vanish/>
                              <w:sz w:val="13"/>
                              <w:szCs w:val="14"/>
                            </w:rPr>
                            <w:t xml:space="preserve"> </w:t>
                          </w:r>
                        </w:p>
                        <w:p w14:paraId="0A18CF72" w14:textId="77777777" w:rsidR="00D75983" w:rsidRDefault="00D75983">
                          <w:pPr>
                            <w:pStyle w:val="Heading7"/>
                            <w:spacing w:before="0" w:after="0" w:line="160" w:lineRule="exact"/>
                            <w:rPr>
                              <w:b/>
                              <w:noProof/>
                              <w:vanish/>
                              <w:sz w:val="13"/>
                              <w:szCs w:val="14"/>
                            </w:rPr>
                          </w:pPr>
                          <w:r>
                            <w:rPr>
                              <w:b/>
                              <w:noProof/>
                              <w:vanish/>
                              <w:sz w:val="13"/>
                              <w:szCs w:val="14"/>
                            </w:rPr>
                            <w:t>10 Grosvenor Street  London  W1K 4BJ</w:t>
                          </w:r>
                        </w:p>
                        <w:p w14:paraId="74DAEC74" w14:textId="5C43B6D1" w:rsidR="00D75983" w:rsidRDefault="00D75983">
                          <w:pPr>
                            <w:pStyle w:val="Heading7"/>
                            <w:spacing w:before="0" w:after="0" w:line="160" w:lineRule="exact"/>
                            <w:rPr>
                              <w:sz w:val="12"/>
                              <w:szCs w:val="12"/>
                            </w:rPr>
                          </w:pPr>
                          <w:r>
                            <w:rPr>
                              <w:noProof/>
                              <w:vanish/>
                              <w:sz w:val="13"/>
                              <w:szCs w:val="14"/>
                            </w:rPr>
                            <w:t xml:space="preserve"> </w:t>
                          </w:r>
                          <w:r>
                            <w:rPr>
                              <w:noProof/>
                              <w:vanish/>
                              <w:sz w:val="13"/>
                              <w:szCs w:val="14"/>
                            </w:rPr>
                            <w:br/>
                          </w:r>
                          <w:r>
                            <w:rPr>
                              <w:noProof/>
                              <w:vanish/>
                              <w:sz w:val="11"/>
                              <w:szCs w:val="12"/>
                            </w:rPr>
                            <w:t xml:space="preserve"> </w:t>
                          </w:r>
                        </w:p>
                      </w:txbxContent>
                    </wps:txbx>
                    <wps:bodyPr rot="0" vert="horz" wrap="square" lIns="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597AB" id="_x0000_t202" coordsize="21600,21600" o:spt="202" path="m,l,21600r21600,l21600,xe">
              <v:stroke joinstyle="miter"/>
              <v:path gradientshapeok="t" o:connecttype="rect"/>
            </v:shapetype>
            <v:shape id="Text Box 2" o:spid="_x0000_s1026" type="#_x0000_t202" style="position:absolute;left:0;text-align:left;margin-left:359.2pt;margin-top:790.95pt;width:162pt;height: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" stroked="f">
              <v:textbox inset="0,0,0,2mm">
                <w:txbxContent>
                  <w:p w14:paraId="10EDB3D6" w14:textId="7DCF6E20" w:rsidR="00D75983" w:rsidRDefault="00D75983">
                    <w:pPr>
                      <w:pStyle w:val="Heading7"/>
                      <w:spacing w:before="0" w:after="0" w:line="160" w:lineRule="exact"/>
                      <w:rPr>
                        <w:b/>
                        <w:noProof/>
                        <w:vanish/>
                        <w:sz w:val="13"/>
                        <w:szCs w:val="14"/>
                      </w:rPr>
                    </w:pPr>
                    <w:r>
                      <w:rPr>
                        <w:b/>
                        <w:noProof/>
                        <w:vanish/>
                        <w:sz w:val="13"/>
                        <w:szCs w:val="14"/>
                      </w:rPr>
                      <w:t xml:space="preserve"> </w:t>
                    </w:r>
                  </w:p>
                  <w:p w14:paraId="0A18CF72" w14:textId="77777777" w:rsidR="00D75983" w:rsidRDefault="00D75983">
                    <w:pPr>
                      <w:pStyle w:val="Heading7"/>
                      <w:spacing w:before="0" w:after="0" w:line="160" w:lineRule="exact"/>
                      <w:rPr>
                        <w:b/>
                        <w:noProof/>
                        <w:vanish/>
                        <w:sz w:val="13"/>
                        <w:szCs w:val="14"/>
                      </w:rPr>
                    </w:pPr>
                    <w:r>
                      <w:rPr>
                        <w:b/>
                        <w:noProof/>
                        <w:vanish/>
                        <w:sz w:val="13"/>
                        <w:szCs w:val="14"/>
                      </w:rPr>
                      <w:t>10 Grosvenor Street  London  W1K 4BJ</w:t>
                    </w:r>
                  </w:p>
                  <w:p w14:paraId="74DAEC74" w14:textId="5C43B6D1" w:rsidR="00D75983" w:rsidRDefault="00D75983">
                    <w:pPr>
                      <w:pStyle w:val="Heading7"/>
                      <w:spacing w:before="0" w:after="0" w:line="160" w:lineRule="exact"/>
                      <w:rPr>
                        <w:sz w:val="12"/>
                        <w:szCs w:val="12"/>
                      </w:rPr>
                    </w:pPr>
                    <w:r>
                      <w:rPr>
                        <w:noProof/>
                        <w:vanish/>
                        <w:sz w:val="13"/>
                        <w:szCs w:val="14"/>
                      </w:rPr>
                      <w:t xml:space="preserve"> </w:t>
                    </w:r>
                    <w:r>
                      <w:rPr>
                        <w:noProof/>
                        <w:vanish/>
                        <w:sz w:val="13"/>
                        <w:szCs w:val="14"/>
                      </w:rPr>
                      <w:br/>
                    </w:r>
                    <w:r>
                      <w:rPr>
                        <w:noProof/>
                        <w:vanish/>
                        <w:sz w:val="11"/>
                        <w:szCs w:val="12"/>
                      </w:rPr>
                      <w:t xml:space="preserve"> </w:t>
                    </w:r>
                  </w:p>
                </w:txbxContent>
              </v:textbox>
              <w10:wrap anchorx="page" anchory="page"/>
            </v:shape>
          </w:pict>
        </mc:Fallback>
      </mc:AlternateContent>
    </w:r>
  </w:p>
  <w:p w14:paraId="70ADEBE3" w14:textId="77777777" w:rsidR="00D75983" w:rsidRPr="008D7621" w:rsidRDefault="00D75983">
    <w:pPr>
      <w:pStyle w:val="Footer"/>
      <w:tabs>
        <w:tab w:val="clear" w:pos="4153"/>
        <w:tab w:val="clear" w:pos="8306"/>
        <w:tab w:val="left" w:pos="4410"/>
      </w:tabs>
      <w:rPr>
        <w:sz w:val="18"/>
        <w:szCs w:val="18"/>
      </w:rPr>
    </w:pPr>
  </w:p>
  <w:p w14:paraId="5B3F52BC" w14:textId="77777777" w:rsidR="00D75983" w:rsidRPr="008D7621" w:rsidRDefault="00D75983">
    <w:pPr>
      <w:pStyle w:val="Footer"/>
      <w:tabs>
        <w:tab w:val="clear" w:pos="4153"/>
        <w:tab w:val="clear" w:pos="8306"/>
        <w:tab w:val="left" w:pos="441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213B" w14:textId="77777777" w:rsidR="00F71E81" w:rsidRDefault="00F71E81">
      <w:r>
        <w:separator/>
      </w:r>
    </w:p>
  </w:footnote>
  <w:footnote w:type="continuationSeparator" w:id="0">
    <w:p w14:paraId="550C5172" w14:textId="77777777" w:rsidR="00F71E81" w:rsidRDefault="00F71E81">
      <w:r>
        <w:continuationSeparator/>
      </w:r>
    </w:p>
  </w:footnote>
  <w:footnote w:type="continuationNotice" w:id="1">
    <w:p w14:paraId="35110DF7" w14:textId="77777777" w:rsidR="00F71E81" w:rsidRDefault="00F71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224A" w14:textId="77777777" w:rsidR="00D75983" w:rsidRPr="008D7621" w:rsidRDefault="00D75983">
    <w:pPr>
      <w:pStyle w:val="Header"/>
    </w:pPr>
    <w:r w:rsidRPr="008D7621">
      <w:rPr>
        <w:noProof/>
        <w:lang w:eastAsia="en-GB"/>
      </w:rPr>
      <w:drawing>
        <wp:inline distT="0" distB="0" distL="0" distR="0" wp14:anchorId="234AF48D" wp14:editId="0D94872A">
          <wp:extent cx="5734050" cy="1552575"/>
          <wp:effectExtent l="19050" t="0" r="0" b="0"/>
          <wp:docPr id="3" name="Picture 3" descr="HA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TR"/>
                  <pic:cNvPicPr>
                    <a:picLocks noChangeAspect="1" noChangeArrowheads="1"/>
                  </pic:cNvPicPr>
                </pic:nvPicPr>
                <pic:blipFill>
                  <a:blip r:embed="rId1"/>
                  <a:srcRect/>
                  <a:stretch>
                    <a:fillRect/>
                  </a:stretch>
                </pic:blipFill>
                <pic:spPr bwMode="auto">
                  <a:xfrm>
                    <a:off x="0" y="0"/>
                    <a:ext cx="5734050" cy="15525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B3C" w14:textId="4D99ABA9" w:rsidR="00D75983" w:rsidRPr="008D7621" w:rsidRDefault="00D75983" w:rsidP="00360752">
    <w:pPr>
      <w:pStyle w:val="Header"/>
      <w:jc w:val="right"/>
      <w:rPr>
        <w:sz w:val="18"/>
        <w:szCs w:val="18"/>
      </w:rPr>
    </w:pPr>
    <w:r>
      <w:rPr>
        <w:noProof/>
        <w:sz w:val="18"/>
        <w:szCs w:val="18"/>
      </w:rPr>
      <w:drawing>
        <wp:anchor distT="0" distB="0" distL="114300" distR="114300" simplePos="0" relativeHeight="251647488" behindDoc="0" locked="0" layoutInCell="1" allowOverlap="1" wp14:anchorId="1B5B633D" wp14:editId="510640B2">
          <wp:simplePos x="0" y="0"/>
          <wp:positionH relativeFrom="margin">
            <wp:posOffset>3738245</wp:posOffset>
          </wp:positionH>
          <wp:positionV relativeFrom="paragraph">
            <wp:posOffset>-1270</wp:posOffset>
          </wp:positionV>
          <wp:extent cx="2308860" cy="820928"/>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entify.png"/>
                  <pic:cNvPicPr/>
                </pic:nvPicPr>
                <pic:blipFill>
                  <a:blip r:embed="rId1">
                    <a:extLst>
                      <a:ext uri="{28A0092B-C50C-407E-A947-70E740481C1C}">
                        <a14:useLocalDpi xmlns:a14="http://schemas.microsoft.com/office/drawing/2010/main" val="0"/>
                      </a:ext>
                    </a:extLst>
                  </a:blip>
                  <a:stretch>
                    <a:fillRect/>
                  </a:stretch>
                </pic:blipFill>
                <pic:spPr>
                  <a:xfrm>
                    <a:off x="0" y="0"/>
                    <a:ext cx="2308860" cy="82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2C4F" w14:textId="77777777" w:rsidR="00D75983" w:rsidRPr="008D7621" w:rsidRDefault="00D75983">
    <w:pPr>
      <w:pStyle w:val="Header"/>
    </w:pPr>
  </w:p>
  <w:p w14:paraId="06DFC0FF" w14:textId="77777777" w:rsidR="00D75983" w:rsidRPr="008D7621" w:rsidRDefault="00D75983">
    <w:pPr>
      <w:pStyle w:val="Header"/>
    </w:pPr>
  </w:p>
  <w:p w14:paraId="50FBB87F" w14:textId="77777777" w:rsidR="00D75983" w:rsidRPr="008D7621" w:rsidRDefault="00D7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304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D6316"/>
    <w:multiLevelType w:val="hybridMultilevel"/>
    <w:tmpl w:val="41D85B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22545"/>
    <w:multiLevelType w:val="hybridMultilevel"/>
    <w:tmpl w:val="0E86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F7853"/>
    <w:multiLevelType w:val="hybridMultilevel"/>
    <w:tmpl w:val="90DCB366"/>
    <w:lvl w:ilvl="0" w:tplc="08090009">
      <w:start w:val="1"/>
      <w:numFmt w:val="bullet"/>
      <w:lvlText w:val=""/>
      <w:lvlJc w:val="left"/>
      <w:pPr>
        <w:ind w:left="720" w:hanging="360"/>
      </w:pPr>
      <w:rPr>
        <w:rFonts w:ascii="Wingdings" w:hAnsi="Wingdings" w:hint="default"/>
      </w:rPr>
    </w:lvl>
    <w:lvl w:ilvl="1" w:tplc="C0562A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3EF"/>
    <w:multiLevelType w:val="hybridMultilevel"/>
    <w:tmpl w:val="37FAC1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3598F"/>
    <w:multiLevelType w:val="hybridMultilevel"/>
    <w:tmpl w:val="090EB0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40462"/>
    <w:multiLevelType w:val="hybridMultilevel"/>
    <w:tmpl w:val="A7E44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25A10"/>
    <w:multiLevelType w:val="hybridMultilevel"/>
    <w:tmpl w:val="A09C2E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C2CAC"/>
    <w:multiLevelType w:val="hybridMultilevel"/>
    <w:tmpl w:val="69461F7E"/>
    <w:lvl w:ilvl="0" w:tplc="7140288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53ACF"/>
    <w:multiLevelType w:val="multilevel"/>
    <w:tmpl w:val="781A242A"/>
    <w:lvl w:ilvl="0">
      <w:start w:val="1"/>
      <w:numFmt w:val="decimal"/>
      <w:pStyle w:val="Heading1"/>
      <w:lvlText w:val="%1"/>
      <w:lvlJc w:val="left"/>
      <w:pPr>
        <w:ind w:left="432" w:hanging="432"/>
      </w:pPr>
      <w:rPr>
        <w:rFonts w:hint="default"/>
        <w:color w:val="C17529" w:themeColor="accent6"/>
        <w:sz w:val="44"/>
      </w:rPr>
    </w:lvl>
    <w:lvl w:ilvl="1">
      <w:start w:val="1"/>
      <w:numFmt w:val="decimal"/>
      <w:pStyle w:val="Heading2"/>
      <w:lvlText w:val="%1.%2"/>
      <w:lvlJc w:val="left"/>
      <w:pPr>
        <w:ind w:left="576" w:hanging="576"/>
      </w:pPr>
      <w:rPr>
        <w:rFonts w:hint="default"/>
        <w:color w:val="C17529" w:themeColor="accent6"/>
      </w:rPr>
    </w:lvl>
    <w:lvl w:ilvl="2">
      <w:start w:val="1"/>
      <w:numFmt w:val="decimal"/>
      <w:pStyle w:val="Heading3"/>
      <w:lvlText w:val="%1.%2.%3"/>
      <w:lvlJc w:val="left"/>
      <w:pPr>
        <w:ind w:left="1758" w:hanging="90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267" w:hanging="864"/>
      </w:pPr>
      <w:rPr>
        <w:rFonts w:hint="default"/>
      </w:rPr>
    </w:lvl>
    <w:lvl w:ilvl="4">
      <w:start w:val="1"/>
      <w:numFmt w:val="none"/>
      <w:lvlText w:val=""/>
      <w:lvlJc w:val="left"/>
      <w:pPr>
        <w:ind w:left="1008" w:hanging="1008"/>
      </w:pPr>
      <w:rPr>
        <w:rFonts w:hint="default"/>
      </w:rPr>
    </w:lvl>
    <w:lvl w:ilvl="5">
      <w:start w:val="1"/>
      <w:numFmt w:val="decimal"/>
      <w:pStyle w:val="Heading6"/>
      <w:lvlText w:val="%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894F7B"/>
    <w:multiLevelType w:val="hybridMultilevel"/>
    <w:tmpl w:val="BE4E46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53176"/>
    <w:multiLevelType w:val="hybridMultilevel"/>
    <w:tmpl w:val="59C09152"/>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C21468"/>
    <w:multiLevelType w:val="multilevel"/>
    <w:tmpl w:val="9AAEB34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66C13ADA"/>
    <w:multiLevelType w:val="hybridMultilevel"/>
    <w:tmpl w:val="0094A9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A180B"/>
    <w:multiLevelType w:val="hybridMultilevel"/>
    <w:tmpl w:val="0EB8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22266"/>
    <w:multiLevelType w:val="hybridMultilevel"/>
    <w:tmpl w:val="C90C80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3"/>
  </w:num>
  <w:num w:numId="6">
    <w:abstractNumId w:val="5"/>
  </w:num>
  <w:num w:numId="7">
    <w:abstractNumId w:val="7"/>
  </w:num>
  <w:num w:numId="8">
    <w:abstractNumId w:val="10"/>
  </w:num>
  <w:num w:numId="9">
    <w:abstractNumId w:val="2"/>
  </w:num>
  <w:num w:numId="10">
    <w:abstractNumId w:val="14"/>
  </w:num>
  <w:num w:numId="11">
    <w:abstractNumId w:val="15"/>
  </w:num>
  <w:num w:numId="12">
    <w:abstractNumId w:val="6"/>
  </w:num>
  <w:num w:numId="13">
    <w:abstractNumId w:val="1"/>
  </w:num>
  <w:num w:numId="14">
    <w:abstractNumId w:val="13"/>
  </w:num>
  <w:num w:numId="15">
    <w:abstractNumId w:val="11"/>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05"/>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UpdateFields" w:val="True"/>
  </w:docVars>
  <w:rsids>
    <w:rsidRoot w:val="00344BBF"/>
    <w:rsid w:val="00003E99"/>
    <w:rsid w:val="000047FC"/>
    <w:rsid w:val="000119FF"/>
    <w:rsid w:val="00021204"/>
    <w:rsid w:val="00021E60"/>
    <w:rsid w:val="00031A55"/>
    <w:rsid w:val="0004087A"/>
    <w:rsid w:val="00041B1C"/>
    <w:rsid w:val="00042173"/>
    <w:rsid w:val="00050E80"/>
    <w:rsid w:val="0005621D"/>
    <w:rsid w:val="00056BC8"/>
    <w:rsid w:val="00057DA4"/>
    <w:rsid w:val="00061B6C"/>
    <w:rsid w:val="00064739"/>
    <w:rsid w:val="00071741"/>
    <w:rsid w:val="00073716"/>
    <w:rsid w:val="00076D51"/>
    <w:rsid w:val="00076ED7"/>
    <w:rsid w:val="0008174B"/>
    <w:rsid w:val="000904B5"/>
    <w:rsid w:val="000912CB"/>
    <w:rsid w:val="00091EE8"/>
    <w:rsid w:val="000A1054"/>
    <w:rsid w:val="000A4C6F"/>
    <w:rsid w:val="000A4E2C"/>
    <w:rsid w:val="000A66F9"/>
    <w:rsid w:val="000B07B0"/>
    <w:rsid w:val="000B2466"/>
    <w:rsid w:val="000B26CF"/>
    <w:rsid w:val="000C5FAB"/>
    <w:rsid w:val="000C7337"/>
    <w:rsid w:val="000D270D"/>
    <w:rsid w:val="000D2D67"/>
    <w:rsid w:val="000D7DBD"/>
    <w:rsid w:val="000E0284"/>
    <w:rsid w:val="000E5117"/>
    <w:rsid w:val="000E592D"/>
    <w:rsid w:val="000E626D"/>
    <w:rsid w:val="000E7839"/>
    <w:rsid w:val="000F0901"/>
    <w:rsid w:val="000F552D"/>
    <w:rsid w:val="000F62B2"/>
    <w:rsid w:val="00100569"/>
    <w:rsid w:val="001106E2"/>
    <w:rsid w:val="001135F2"/>
    <w:rsid w:val="001153FA"/>
    <w:rsid w:val="001218F4"/>
    <w:rsid w:val="00127A66"/>
    <w:rsid w:val="00131968"/>
    <w:rsid w:val="001375B1"/>
    <w:rsid w:val="00143BBC"/>
    <w:rsid w:val="00144123"/>
    <w:rsid w:val="00145992"/>
    <w:rsid w:val="0014765C"/>
    <w:rsid w:val="00152264"/>
    <w:rsid w:val="00155836"/>
    <w:rsid w:val="00156747"/>
    <w:rsid w:val="00164D5E"/>
    <w:rsid w:val="001653B7"/>
    <w:rsid w:val="00167546"/>
    <w:rsid w:val="00170680"/>
    <w:rsid w:val="00170EB3"/>
    <w:rsid w:val="001757D3"/>
    <w:rsid w:val="00177593"/>
    <w:rsid w:val="00180BF8"/>
    <w:rsid w:val="00181DD4"/>
    <w:rsid w:val="00182BB9"/>
    <w:rsid w:val="0018364A"/>
    <w:rsid w:val="00190F25"/>
    <w:rsid w:val="00191827"/>
    <w:rsid w:val="001932C7"/>
    <w:rsid w:val="00197B02"/>
    <w:rsid w:val="001A50B2"/>
    <w:rsid w:val="001B12FA"/>
    <w:rsid w:val="001B2029"/>
    <w:rsid w:val="001B2913"/>
    <w:rsid w:val="001B37B5"/>
    <w:rsid w:val="001C44D8"/>
    <w:rsid w:val="001C6B33"/>
    <w:rsid w:val="001D361D"/>
    <w:rsid w:val="001D40A3"/>
    <w:rsid w:val="001D57F3"/>
    <w:rsid w:val="001E106B"/>
    <w:rsid w:val="001F3DA2"/>
    <w:rsid w:val="001F5C9C"/>
    <w:rsid w:val="00212CF5"/>
    <w:rsid w:val="00215AE7"/>
    <w:rsid w:val="00224A7A"/>
    <w:rsid w:val="00225818"/>
    <w:rsid w:val="00227D89"/>
    <w:rsid w:val="00233654"/>
    <w:rsid w:val="002430EE"/>
    <w:rsid w:val="0025005C"/>
    <w:rsid w:val="00253649"/>
    <w:rsid w:val="00255751"/>
    <w:rsid w:val="00256C7F"/>
    <w:rsid w:val="00260D3E"/>
    <w:rsid w:val="00262B5F"/>
    <w:rsid w:val="00263F42"/>
    <w:rsid w:val="00267240"/>
    <w:rsid w:val="00267C29"/>
    <w:rsid w:val="00273FC0"/>
    <w:rsid w:val="00280011"/>
    <w:rsid w:val="0028685C"/>
    <w:rsid w:val="00292507"/>
    <w:rsid w:val="00293923"/>
    <w:rsid w:val="00295828"/>
    <w:rsid w:val="00295F41"/>
    <w:rsid w:val="002A14C3"/>
    <w:rsid w:val="002A5B56"/>
    <w:rsid w:val="002A7D38"/>
    <w:rsid w:val="002B1966"/>
    <w:rsid w:val="002B1AF2"/>
    <w:rsid w:val="002B4744"/>
    <w:rsid w:val="002B65FE"/>
    <w:rsid w:val="002C3A49"/>
    <w:rsid w:val="002C6265"/>
    <w:rsid w:val="002C6525"/>
    <w:rsid w:val="002C6630"/>
    <w:rsid w:val="002C7263"/>
    <w:rsid w:val="002D0F3A"/>
    <w:rsid w:val="002D1F2D"/>
    <w:rsid w:val="002D4D77"/>
    <w:rsid w:val="002D6408"/>
    <w:rsid w:val="002E07A8"/>
    <w:rsid w:val="002E3BF0"/>
    <w:rsid w:val="002E3CDE"/>
    <w:rsid w:val="002E5439"/>
    <w:rsid w:val="002E61FA"/>
    <w:rsid w:val="002E788F"/>
    <w:rsid w:val="002F2AC9"/>
    <w:rsid w:val="002F2D7F"/>
    <w:rsid w:val="002F4D92"/>
    <w:rsid w:val="002F6658"/>
    <w:rsid w:val="002F6903"/>
    <w:rsid w:val="002F6BFF"/>
    <w:rsid w:val="003015F3"/>
    <w:rsid w:val="00301CFC"/>
    <w:rsid w:val="0030427C"/>
    <w:rsid w:val="00305C79"/>
    <w:rsid w:val="00306710"/>
    <w:rsid w:val="00312BCC"/>
    <w:rsid w:val="00314851"/>
    <w:rsid w:val="00320667"/>
    <w:rsid w:val="00322AB2"/>
    <w:rsid w:val="00326654"/>
    <w:rsid w:val="00326B3A"/>
    <w:rsid w:val="00327CC9"/>
    <w:rsid w:val="003347C0"/>
    <w:rsid w:val="00337E45"/>
    <w:rsid w:val="00340B68"/>
    <w:rsid w:val="00340CF7"/>
    <w:rsid w:val="00344BBF"/>
    <w:rsid w:val="00345527"/>
    <w:rsid w:val="00354269"/>
    <w:rsid w:val="00357CE4"/>
    <w:rsid w:val="00360752"/>
    <w:rsid w:val="00365C6A"/>
    <w:rsid w:val="003677D9"/>
    <w:rsid w:val="00371292"/>
    <w:rsid w:val="00380275"/>
    <w:rsid w:val="00386CDE"/>
    <w:rsid w:val="0038751B"/>
    <w:rsid w:val="003901EA"/>
    <w:rsid w:val="00392B93"/>
    <w:rsid w:val="0039517A"/>
    <w:rsid w:val="003A4D2E"/>
    <w:rsid w:val="003B3BC7"/>
    <w:rsid w:val="003B476B"/>
    <w:rsid w:val="003C355F"/>
    <w:rsid w:val="003C6452"/>
    <w:rsid w:val="003D159C"/>
    <w:rsid w:val="003D2DB1"/>
    <w:rsid w:val="003D3637"/>
    <w:rsid w:val="003E1D16"/>
    <w:rsid w:val="003E3302"/>
    <w:rsid w:val="003E6415"/>
    <w:rsid w:val="003E6A27"/>
    <w:rsid w:val="003E7C2D"/>
    <w:rsid w:val="003F3094"/>
    <w:rsid w:val="003F6D85"/>
    <w:rsid w:val="004028A6"/>
    <w:rsid w:val="004049CE"/>
    <w:rsid w:val="00407A66"/>
    <w:rsid w:val="004160FE"/>
    <w:rsid w:val="00434B16"/>
    <w:rsid w:val="00447E1B"/>
    <w:rsid w:val="00452AC4"/>
    <w:rsid w:val="004544C5"/>
    <w:rsid w:val="00455D72"/>
    <w:rsid w:val="00457EB3"/>
    <w:rsid w:val="00462FDC"/>
    <w:rsid w:val="00464CF4"/>
    <w:rsid w:val="00470680"/>
    <w:rsid w:val="004706F0"/>
    <w:rsid w:val="004713A1"/>
    <w:rsid w:val="00477B62"/>
    <w:rsid w:val="00484DA4"/>
    <w:rsid w:val="004853F3"/>
    <w:rsid w:val="00490ADF"/>
    <w:rsid w:val="00492D96"/>
    <w:rsid w:val="00495830"/>
    <w:rsid w:val="004A603F"/>
    <w:rsid w:val="004A66BA"/>
    <w:rsid w:val="004A6DFD"/>
    <w:rsid w:val="004C3F29"/>
    <w:rsid w:val="004C545B"/>
    <w:rsid w:val="004D3DB0"/>
    <w:rsid w:val="004D6824"/>
    <w:rsid w:val="004F19B9"/>
    <w:rsid w:val="004F5205"/>
    <w:rsid w:val="004F7BE1"/>
    <w:rsid w:val="0050048F"/>
    <w:rsid w:val="00500490"/>
    <w:rsid w:val="00511A6E"/>
    <w:rsid w:val="00511DBB"/>
    <w:rsid w:val="00516116"/>
    <w:rsid w:val="005164EA"/>
    <w:rsid w:val="005179A3"/>
    <w:rsid w:val="0052092C"/>
    <w:rsid w:val="005237B6"/>
    <w:rsid w:val="00526228"/>
    <w:rsid w:val="00536DBB"/>
    <w:rsid w:val="00536DF5"/>
    <w:rsid w:val="005417B3"/>
    <w:rsid w:val="00544207"/>
    <w:rsid w:val="0055692E"/>
    <w:rsid w:val="00570D88"/>
    <w:rsid w:val="005803CD"/>
    <w:rsid w:val="00581772"/>
    <w:rsid w:val="005854B0"/>
    <w:rsid w:val="00592BA0"/>
    <w:rsid w:val="0059316A"/>
    <w:rsid w:val="00596AA9"/>
    <w:rsid w:val="005A57A0"/>
    <w:rsid w:val="005B4ECB"/>
    <w:rsid w:val="005B4F36"/>
    <w:rsid w:val="005B6092"/>
    <w:rsid w:val="005B736B"/>
    <w:rsid w:val="005C1DC7"/>
    <w:rsid w:val="005C219E"/>
    <w:rsid w:val="005C6B1F"/>
    <w:rsid w:val="005D0E91"/>
    <w:rsid w:val="005D49DF"/>
    <w:rsid w:val="005E149A"/>
    <w:rsid w:val="005E3EA8"/>
    <w:rsid w:val="005F6FBC"/>
    <w:rsid w:val="006034B0"/>
    <w:rsid w:val="006038A6"/>
    <w:rsid w:val="006044BF"/>
    <w:rsid w:val="0060535C"/>
    <w:rsid w:val="0060760C"/>
    <w:rsid w:val="00617CE3"/>
    <w:rsid w:val="00621AB7"/>
    <w:rsid w:val="00621C96"/>
    <w:rsid w:val="00634B63"/>
    <w:rsid w:val="00635A7B"/>
    <w:rsid w:val="00640DA7"/>
    <w:rsid w:val="006571CB"/>
    <w:rsid w:val="00667C26"/>
    <w:rsid w:val="00672FD4"/>
    <w:rsid w:val="0067799E"/>
    <w:rsid w:val="00694A72"/>
    <w:rsid w:val="006950D1"/>
    <w:rsid w:val="00695C49"/>
    <w:rsid w:val="00696457"/>
    <w:rsid w:val="006C6165"/>
    <w:rsid w:val="006D1777"/>
    <w:rsid w:val="006D5B80"/>
    <w:rsid w:val="006D6171"/>
    <w:rsid w:val="006E42A9"/>
    <w:rsid w:val="00703B91"/>
    <w:rsid w:val="0070753B"/>
    <w:rsid w:val="00710EEF"/>
    <w:rsid w:val="007146B2"/>
    <w:rsid w:val="0071520D"/>
    <w:rsid w:val="00724F37"/>
    <w:rsid w:val="0073386D"/>
    <w:rsid w:val="00742884"/>
    <w:rsid w:val="00745584"/>
    <w:rsid w:val="007455E7"/>
    <w:rsid w:val="007504F2"/>
    <w:rsid w:val="007505E5"/>
    <w:rsid w:val="00750E66"/>
    <w:rsid w:val="00753E04"/>
    <w:rsid w:val="00754ABE"/>
    <w:rsid w:val="007568D7"/>
    <w:rsid w:val="00757CAE"/>
    <w:rsid w:val="00760ED9"/>
    <w:rsid w:val="00761975"/>
    <w:rsid w:val="007679B3"/>
    <w:rsid w:val="00767DDB"/>
    <w:rsid w:val="007768D8"/>
    <w:rsid w:val="007770EF"/>
    <w:rsid w:val="007806D3"/>
    <w:rsid w:val="00781B49"/>
    <w:rsid w:val="0078484D"/>
    <w:rsid w:val="00791A4C"/>
    <w:rsid w:val="007966B8"/>
    <w:rsid w:val="0079738A"/>
    <w:rsid w:val="007A16B8"/>
    <w:rsid w:val="007A23EC"/>
    <w:rsid w:val="007B79C4"/>
    <w:rsid w:val="007C0511"/>
    <w:rsid w:val="007C206E"/>
    <w:rsid w:val="007C2DEE"/>
    <w:rsid w:val="007E1BA5"/>
    <w:rsid w:val="007E2F49"/>
    <w:rsid w:val="007F10FA"/>
    <w:rsid w:val="00802F9F"/>
    <w:rsid w:val="008058DB"/>
    <w:rsid w:val="008253E2"/>
    <w:rsid w:val="00826E5C"/>
    <w:rsid w:val="00827550"/>
    <w:rsid w:val="00830B77"/>
    <w:rsid w:val="00836271"/>
    <w:rsid w:val="00840229"/>
    <w:rsid w:val="00844FF4"/>
    <w:rsid w:val="00846F21"/>
    <w:rsid w:val="00856468"/>
    <w:rsid w:val="00856D53"/>
    <w:rsid w:val="00861820"/>
    <w:rsid w:val="0086213A"/>
    <w:rsid w:val="008653E3"/>
    <w:rsid w:val="0087279C"/>
    <w:rsid w:val="00873D38"/>
    <w:rsid w:val="00874C32"/>
    <w:rsid w:val="00880F96"/>
    <w:rsid w:val="0088362B"/>
    <w:rsid w:val="00890942"/>
    <w:rsid w:val="00894A0E"/>
    <w:rsid w:val="00894CBE"/>
    <w:rsid w:val="008978D6"/>
    <w:rsid w:val="008A1BB8"/>
    <w:rsid w:val="008A5233"/>
    <w:rsid w:val="008A648A"/>
    <w:rsid w:val="008B0FD3"/>
    <w:rsid w:val="008C0986"/>
    <w:rsid w:val="008C32B5"/>
    <w:rsid w:val="008C540C"/>
    <w:rsid w:val="008C6914"/>
    <w:rsid w:val="008D7621"/>
    <w:rsid w:val="008E1199"/>
    <w:rsid w:val="008E1A60"/>
    <w:rsid w:val="008E1FDC"/>
    <w:rsid w:val="008E586B"/>
    <w:rsid w:val="008F01F2"/>
    <w:rsid w:val="008F6EA5"/>
    <w:rsid w:val="008F7696"/>
    <w:rsid w:val="009013F5"/>
    <w:rsid w:val="00906A3A"/>
    <w:rsid w:val="00907868"/>
    <w:rsid w:val="009115A8"/>
    <w:rsid w:val="009122A6"/>
    <w:rsid w:val="0091262C"/>
    <w:rsid w:val="009134D7"/>
    <w:rsid w:val="0091692D"/>
    <w:rsid w:val="00917AAA"/>
    <w:rsid w:val="0092054A"/>
    <w:rsid w:val="009209F3"/>
    <w:rsid w:val="009211FA"/>
    <w:rsid w:val="00921D05"/>
    <w:rsid w:val="00925CC6"/>
    <w:rsid w:val="009345E5"/>
    <w:rsid w:val="009455B3"/>
    <w:rsid w:val="00946999"/>
    <w:rsid w:val="00956E95"/>
    <w:rsid w:val="009620DA"/>
    <w:rsid w:val="00965C23"/>
    <w:rsid w:val="00966A60"/>
    <w:rsid w:val="009727B5"/>
    <w:rsid w:val="00975D4D"/>
    <w:rsid w:val="009840AE"/>
    <w:rsid w:val="00984D70"/>
    <w:rsid w:val="0098623A"/>
    <w:rsid w:val="00990C4C"/>
    <w:rsid w:val="00994FCC"/>
    <w:rsid w:val="009A04B6"/>
    <w:rsid w:val="009A6BD6"/>
    <w:rsid w:val="009B3197"/>
    <w:rsid w:val="009C2099"/>
    <w:rsid w:val="009C71ED"/>
    <w:rsid w:val="009D3188"/>
    <w:rsid w:val="009F0564"/>
    <w:rsid w:val="00A06607"/>
    <w:rsid w:val="00A124EC"/>
    <w:rsid w:val="00A12533"/>
    <w:rsid w:val="00A12CA3"/>
    <w:rsid w:val="00A16A4A"/>
    <w:rsid w:val="00A23749"/>
    <w:rsid w:val="00A26EF4"/>
    <w:rsid w:val="00A4126A"/>
    <w:rsid w:val="00A45213"/>
    <w:rsid w:val="00A521F7"/>
    <w:rsid w:val="00A547F3"/>
    <w:rsid w:val="00A65866"/>
    <w:rsid w:val="00A65EAB"/>
    <w:rsid w:val="00A67CB8"/>
    <w:rsid w:val="00A67DBC"/>
    <w:rsid w:val="00A7267B"/>
    <w:rsid w:val="00A808F6"/>
    <w:rsid w:val="00A81007"/>
    <w:rsid w:val="00A825BC"/>
    <w:rsid w:val="00A83D6D"/>
    <w:rsid w:val="00A94474"/>
    <w:rsid w:val="00AB1588"/>
    <w:rsid w:val="00AB3776"/>
    <w:rsid w:val="00AB7E4E"/>
    <w:rsid w:val="00AC3314"/>
    <w:rsid w:val="00AE01D5"/>
    <w:rsid w:val="00AE2304"/>
    <w:rsid w:val="00AF505E"/>
    <w:rsid w:val="00B07B3C"/>
    <w:rsid w:val="00B10C86"/>
    <w:rsid w:val="00B11300"/>
    <w:rsid w:val="00B12041"/>
    <w:rsid w:val="00B13788"/>
    <w:rsid w:val="00B16C59"/>
    <w:rsid w:val="00B356FB"/>
    <w:rsid w:val="00B37FAB"/>
    <w:rsid w:val="00B40FDC"/>
    <w:rsid w:val="00B42D09"/>
    <w:rsid w:val="00B433ED"/>
    <w:rsid w:val="00B4373B"/>
    <w:rsid w:val="00B4472B"/>
    <w:rsid w:val="00B510EF"/>
    <w:rsid w:val="00B57759"/>
    <w:rsid w:val="00B62231"/>
    <w:rsid w:val="00B63E64"/>
    <w:rsid w:val="00B778CF"/>
    <w:rsid w:val="00B8103B"/>
    <w:rsid w:val="00B8200C"/>
    <w:rsid w:val="00B90B44"/>
    <w:rsid w:val="00B91794"/>
    <w:rsid w:val="00B92154"/>
    <w:rsid w:val="00B92F4B"/>
    <w:rsid w:val="00B95B14"/>
    <w:rsid w:val="00B95F88"/>
    <w:rsid w:val="00B965E3"/>
    <w:rsid w:val="00BA1B2C"/>
    <w:rsid w:val="00BA1EE8"/>
    <w:rsid w:val="00BA302D"/>
    <w:rsid w:val="00BB3909"/>
    <w:rsid w:val="00BB6118"/>
    <w:rsid w:val="00BC0E12"/>
    <w:rsid w:val="00BC2D95"/>
    <w:rsid w:val="00BC4944"/>
    <w:rsid w:val="00BC7EED"/>
    <w:rsid w:val="00BF12AA"/>
    <w:rsid w:val="00BF4CBB"/>
    <w:rsid w:val="00BF5EF5"/>
    <w:rsid w:val="00C01C72"/>
    <w:rsid w:val="00C041F1"/>
    <w:rsid w:val="00C0429B"/>
    <w:rsid w:val="00C064D2"/>
    <w:rsid w:val="00C124BF"/>
    <w:rsid w:val="00C149F8"/>
    <w:rsid w:val="00C22F64"/>
    <w:rsid w:val="00C2604A"/>
    <w:rsid w:val="00C2673A"/>
    <w:rsid w:val="00C274D4"/>
    <w:rsid w:val="00C33589"/>
    <w:rsid w:val="00C417F2"/>
    <w:rsid w:val="00C42C16"/>
    <w:rsid w:val="00C44F4A"/>
    <w:rsid w:val="00C44F71"/>
    <w:rsid w:val="00C54BFB"/>
    <w:rsid w:val="00C55A0F"/>
    <w:rsid w:val="00C628FC"/>
    <w:rsid w:val="00C637F8"/>
    <w:rsid w:val="00C73D80"/>
    <w:rsid w:val="00C74A12"/>
    <w:rsid w:val="00C75654"/>
    <w:rsid w:val="00C92E5B"/>
    <w:rsid w:val="00C97030"/>
    <w:rsid w:val="00CC0ED6"/>
    <w:rsid w:val="00CC3AAD"/>
    <w:rsid w:val="00CD509C"/>
    <w:rsid w:val="00CD598E"/>
    <w:rsid w:val="00CE0EB3"/>
    <w:rsid w:val="00CE389D"/>
    <w:rsid w:val="00CF383B"/>
    <w:rsid w:val="00D03E5A"/>
    <w:rsid w:val="00D04084"/>
    <w:rsid w:val="00D07E1F"/>
    <w:rsid w:val="00D15BA6"/>
    <w:rsid w:val="00D17C05"/>
    <w:rsid w:val="00D22EDA"/>
    <w:rsid w:val="00D24173"/>
    <w:rsid w:val="00D31467"/>
    <w:rsid w:val="00D32CA3"/>
    <w:rsid w:val="00D35DF6"/>
    <w:rsid w:val="00D41AF9"/>
    <w:rsid w:val="00D5088E"/>
    <w:rsid w:val="00D5195D"/>
    <w:rsid w:val="00D54096"/>
    <w:rsid w:val="00D548F3"/>
    <w:rsid w:val="00D66BE0"/>
    <w:rsid w:val="00D67BE7"/>
    <w:rsid w:val="00D72B95"/>
    <w:rsid w:val="00D75983"/>
    <w:rsid w:val="00D75B6E"/>
    <w:rsid w:val="00D866A2"/>
    <w:rsid w:val="00D9373D"/>
    <w:rsid w:val="00D95625"/>
    <w:rsid w:val="00DA6CF5"/>
    <w:rsid w:val="00DB2BDD"/>
    <w:rsid w:val="00DC2FD6"/>
    <w:rsid w:val="00DC4333"/>
    <w:rsid w:val="00DD59DB"/>
    <w:rsid w:val="00DE0397"/>
    <w:rsid w:val="00DF049A"/>
    <w:rsid w:val="00DF4278"/>
    <w:rsid w:val="00DF42EB"/>
    <w:rsid w:val="00DF4A34"/>
    <w:rsid w:val="00DF6C61"/>
    <w:rsid w:val="00E01BE0"/>
    <w:rsid w:val="00E06314"/>
    <w:rsid w:val="00E10966"/>
    <w:rsid w:val="00E143ED"/>
    <w:rsid w:val="00E17108"/>
    <w:rsid w:val="00E30158"/>
    <w:rsid w:val="00E33314"/>
    <w:rsid w:val="00E35931"/>
    <w:rsid w:val="00E419B7"/>
    <w:rsid w:val="00E423CD"/>
    <w:rsid w:val="00E43200"/>
    <w:rsid w:val="00E4352A"/>
    <w:rsid w:val="00E446EB"/>
    <w:rsid w:val="00E47A65"/>
    <w:rsid w:val="00E50716"/>
    <w:rsid w:val="00E52DB9"/>
    <w:rsid w:val="00E6587B"/>
    <w:rsid w:val="00E67EE9"/>
    <w:rsid w:val="00E70B03"/>
    <w:rsid w:val="00E91FDE"/>
    <w:rsid w:val="00EA200E"/>
    <w:rsid w:val="00EA421A"/>
    <w:rsid w:val="00EA682F"/>
    <w:rsid w:val="00EA7990"/>
    <w:rsid w:val="00EB5FFD"/>
    <w:rsid w:val="00EC1306"/>
    <w:rsid w:val="00ED3D02"/>
    <w:rsid w:val="00ED76D1"/>
    <w:rsid w:val="00EF2628"/>
    <w:rsid w:val="00F03143"/>
    <w:rsid w:val="00F0451E"/>
    <w:rsid w:val="00F168B8"/>
    <w:rsid w:val="00F17DA9"/>
    <w:rsid w:val="00F22053"/>
    <w:rsid w:val="00F240E0"/>
    <w:rsid w:val="00F27B8A"/>
    <w:rsid w:val="00F3159F"/>
    <w:rsid w:val="00F33045"/>
    <w:rsid w:val="00F36925"/>
    <w:rsid w:val="00F448C8"/>
    <w:rsid w:val="00F4528D"/>
    <w:rsid w:val="00F45F9E"/>
    <w:rsid w:val="00F601E6"/>
    <w:rsid w:val="00F607F9"/>
    <w:rsid w:val="00F61347"/>
    <w:rsid w:val="00F657C5"/>
    <w:rsid w:val="00F7196A"/>
    <w:rsid w:val="00F71E81"/>
    <w:rsid w:val="00F76848"/>
    <w:rsid w:val="00F9352B"/>
    <w:rsid w:val="00F94AFB"/>
    <w:rsid w:val="00FB13E2"/>
    <w:rsid w:val="00FB24A6"/>
    <w:rsid w:val="00FB2ABA"/>
    <w:rsid w:val="00FB2E07"/>
    <w:rsid w:val="00FB5AF2"/>
    <w:rsid w:val="00FC101B"/>
    <w:rsid w:val="00FC248B"/>
    <w:rsid w:val="00FD4C48"/>
    <w:rsid w:val="00FD5D5F"/>
    <w:rsid w:val="00FE0AF9"/>
    <w:rsid w:val="00FE1A17"/>
    <w:rsid w:val="00FE5987"/>
    <w:rsid w:val="00FF0C0B"/>
    <w:rsid w:val="00FF0D3B"/>
    <w:rsid w:val="00FF5F4C"/>
    <w:rsid w:val="00FF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7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0D"/>
    <w:pPr>
      <w:jc w:val="both"/>
    </w:pPr>
    <w:rPr>
      <w:rFonts w:ascii="Arial" w:hAnsi="Arial" w:cs="Arial"/>
      <w:sz w:val="21"/>
      <w:szCs w:val="21"/>
      <w:lang w:eastAsia="en-US"/>
    </w:rPr>
  </w:style>
  <w:style w:type="paragraph" w:styleId="Heading1">
    <w:name w:val="heading 1"/>
    <w:aliases w:val="Secondary  Headings,ch,MIGHeading 1,ch1,Propo,PARA1,H1,Section Title,l1,1,Part,Section,Section...,Section1,Section2,Section11,ctf3451,jj,Heading 1- SBC,margin,TOC 11,Heading apps,PA Chapter,PARA11,PARA12,PARA13,PARA14,Outline1,H11,H12,H111,H13"/>
    <w:basedOn w:val="Normal"/>
    <w:next w:val="Normal"/>
    <w:link w:val="Heading1Char"/>
    <w:qFormat/>
    <w:rsid w:val="00A06607"/>
    <w:pPr>
      <w:keepNext/>
      <w:numPr>
        <w:numId w:val="2"/>
      </w:numPr>
      <w:outlineLvl w:val="0"/>
    </w:pPr>
    <w:rPr>
      <w:b/>
      <w:color w:val="C17529" w:themeColor="accent6"/>
      <w:sz w:val="44"/>
    </w:rPr>
  </w:style>
  <w:style w:type="paragraph" w:styleId="Heading2">
    <w:name w:val="heading 2"/>
    <w:aliases w:val="Subsection Header,sla h2"/>
    <w:basedOn w:val="Normal"/>
    <w:next w:val="Normal"/>
    <w:qFormat/>
    <w:rsid w:val="005C6B1F"/>
    <w:pPr>
      <w:keepNext/>
      <w:numPr>
        <w:ilvl w:val="1"/>
        <w:numId w:val="2"/>
      </w:numPr>
      <w:tabs>
        <w:tab w:val="left" w:pos="900"/>
      </w:tabs>
      <w:outlineLvl w:val="1"/>
    </w:pPr>
    <w:rPr>
      <w:b/>
      <w:color w:val="C17529" w:themeColor="accent6"/>
      <w:sz w:val="28"/>
      <w:u w:val="single"/>
    </w:rPr>
  </w:style>
  <w:style w:type="paragraph" w:styleId="Heading3">
    <w:name w:val="heading 3"/>
    <w:basedOn w:val="Normal"/>
    <w:next w:val="Normal"/>
    <w:qFormat/>
    <w:rsid w:val="00BF12AA"/>
    <w:pPr>
      <w:keepNext/>
      <w:numPr>
        <w:ilvl w:val="2"/>
        <w:numId w:val="2"/>
      </w:numPr>
      <w:ind w:left="964" w:hanging="680"/>
      <w:jc w:val="left"/>
      <w:outlineLvl w:val="2"/>
    </w:pPr>
    <w:rPr>
      <w:rFonts w:asciiTheme="minorHAnsi" w:hAnsiTheme="minorHAnsi" w:cs="Times New Roman"/>
      <w:b/>
      <w:bCs/>
      <w:color w:val="C17529" w:themeColor="accent6"/>
      <w:sz w:val="24"/>
      <w:szCs w:val="20"/>
    </w:rPr>
  </w:style>
  <w:style w:type="paragraph" w:styleId="Heading4">
    <w:name w:val="heading 4"/>
    <w:basedOn w:val="Normal"/>
    <w:next w:val="Normal"/>
    <w:link w:val="Heading4Char"/>
    <w:uiPriority w:val="9"/>
    <w:unhideWhenUsed/>
    <w:qFormat/>
    <w:rsid w:val="005C6B1F"/>
    <w:pPr>
      <w:keepNext/>
      <w:keepLines/>
      <w:numPr>
        <w:ilvl w:val="3"/>
        <w:numId w:val="2"/>
      </w:numPr>
      <w:spacing w:before="280" w:after="240"/>
      <w:ind w:left="1584"/>
      <w:outlineLvl w:val="3"/>
    </w:pPr>
    <w:rPr>
      <w:rFonts w:asciiTheme="minorHAnsi" w:eastAsiaTheme="majorEastAsia" w:hAnsiTheme="minorHAnsi" w:cstheme="majorBidi"/>
      <w:b/>
      <w:iCs/>
      <w:color w:val="000000" w:themeColor="text1"/>
    </w:rPr>
  </w:style>
  <w:style w:type="paragraph" w:styleId="Heading5">
    <w:name w:val="heading 5"/>
    <w:basedOn w:val="Normal"/>
    <w:next w:val="Normal"/>
    <w:link w:val="Heading5Char"/>
    <w:unhideWhenUsed/>
    <w:qFormat/>
    <w:rsid w:val="009013F5"/>
    <w:pPr>
      <w:keepNext/>
      <w:keepLines/>
      <w:numPr>
        <w:ilvl w:val="4"/>
        <w:numId w:val="1"/>
      </w:numPr>
      <w:spacing w:before="40"/>
      <w:outlineLvl w:val="4"/>
    </w:pPr>
    <w:rPr>
      <w:rFonts w:asciiTheme="majorHAnsi" w:eastAsiaTheme="majorEastAsia" w:hAnsiTheme="majorHAnsi" w:cstheme="majorBidi"/>
      <w:color w:val="C77C0E" w:themeColor="accent1" w:themeShade="BF"/>
    </w:rPr>
  </w:style>
  <w:style w:type="paragraph" w:styleId="Heading6">
    <w:name w:val="heading 6"/>
    <w:aliases w:val="Blank 2,b,H6 DO NOT USE"/>
    <w:basedOn w:val="Normal"/>
    <w:next w:val="Normal"/>
    <w:link w:val="Heading6Char"/>
    <w:uiPriority w:val="9"/>
    <w:unhideWhenUsed/>
    <w:qFormat/>
    <w:rsid w:val="009013F5"/>
    <w:pPr>
      <w:keepNext/>
      <w:keepLines/>
      <w:numPr>
        <w:ilvl w:val="5"/>
        <w:numId w:val="2"/>
      </w:numPr>
      <w:spacing w:before="4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qFormat/>
    <w:rsid w:val="0071520D"/>
    <w:pPr>
      <w:numPr>
        <w:ilvl w:val="6"/>
        <w:numId w:val="1"/>
      </w:numPr>
      <w:spacing w:before="240" w:after="60"/>
      <w:outlineLvl w:val="6"/>
    </w:pPr>
    <w:rPr>
      <w:szCs w:val="24"/>
    </w:rPr>
  </w:style>
  <w:style w:type="paragraph" w:styleId="Heading8">
    <w:name w:val="heading 8"/>
    <w:basedOn w:val="Normal"/>
    <w:next w:val="Normal"/>
    <w:link w:val="Heading8Char"/>
    <w:unhideWhenUsed/>
    <w:qFormat/>
    <w:rsid w:val="009013F5"/>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nhideWhenUsed/>
    <w:qFormat/>
    <w:rsid w:val="009013F5"/>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520D"/>
    <w:pPr>
      <w:tabs>
        <w:tab w:val="center" w:pos="4153"/>
        <w:tab w:val="right" w:pos="8306"/>
      </w:tabs>
    </w:pPr>
    <w:rPr>
      <w:sz w:val="20"/>
    </w:rPr>
  </w:style>
  <w:style w:type="paragraph" w:styleId="Footer">
    <w:name w:val="footer"/>
    <w:basedOn w:val="Normal"/>
    <w:link w:val="FooterChar"/>
    <w:uiPriority w:val="99"/>
    <w:rsid w:val="0071520D"/>
    <w:pPr>
      <w:tabs>
        <w:tab w:val="center" w:pos="4153"/>
        <w:tab w:val="right" w:pos="8306"/>
      </w:tabs>
    </w:pPr>
  </w:style>
  <w:style w:type="character" w:styleId="PageNumber">
    <w:name w:val="page number"/>
    <w:basedOn w:val="DefaultParagraphFont"/>
    <w:semiHidden/>
    <w:rsid w:val="0071520D"/>
  </w:style>
  <w:style w:type="character" w:styleId="Hyperlink">
    <w:name w:val="Hyperlink"/>
    <w:basedOn w:val="DefaultParagraphFont"/>
    <w:uiPriority w:val="99"/>
    <w:rsid w:val="0071520D"/>
    <w:rPr>
      <w:color w:val="0000FF"/>
      <w:u w:val="single"/>
    </w:rPr>
  </w:style>
  <w:style w:type="character" w:styleId="FollowedHyperlink">
    <w:name w:val="FollowedHyperlink"/>
    <w:basedOn w:val="DefaultParagraphFont"/>
    <w:semiHidden/>
    <w:rsid w:val="0071520D"/>
    <w:rPr>
      <w:color w:val="800080"/>
      <w:u w:val="single"/>
    </w:rPr>
  </w:style>
  <w:style w:type="paragraph" w:styleId="BalloonText">
    <w:name w:val="Balloon Text"/>
    <w:basedOn w:val="Normal"/>
    <w:link w:val="BalloonTextChar"/>
    <w:uiPriority w:val="99"/>
    <w:semiHidden/>
    <w:unhideWhenUsed/>
    <w:rsid w:val="00305C79"/>
    <w:rPr>
      <w:rFonts w:ascii="Tahoma" w:hAnsi="Tahoma" w:cs="Tahoma"/>
      <w:sz w:val="16"/>
      <w:szCs w:val="16"/>
    </w:rPr>
  </w:style>
  <w:style w:type="character" w:customStyle="1" w:styleId="BalloonTextChar">
    <w:name w:val="Balloon Text Char"/>
    <w:basedOn w:val="DefaultParagraphFont"/>
    <w:link w:val="BalloonText"/>
    <w:uiPriority w:val="99"/>
    <w:semiHidden/>
    <w:rsid w:val="00305C79"/>
    <w:rPr>
      <w:rFonts w:ascii="Tahoma" w:hAnsi="Tahoma" w:cs="Tahoma"/>
      <w:sz w:val="16"/>
      <w:szCs w:val="16"/>
      <w:lang w:eastAsia="en-US"/>
    </w:rPr>
  </w:style>
  <w:style w:type="paragraph" w:styleId="ListParagraph">
    <w:name w:val="List Paragraph"/>
    <w:basedOn w:val="Normal"/>
    <w:link w:val="ListParagraphChar"/>
    <w:uiPriority w:val="34"/>
    <w:qFormat/>
    <w:rsid w:val="002A5B56"/>
    <w:pPr>
      <w:numPr>
        <w:numId w:val="4"/>
      </w:numPr>
      <w:spacing w:before="240"/>
      <w:ind w:left="1080"/>
      <w:jc w:val="left"/>
    </w:pPr>
    <w:rPr>
      <w:rFonts w:asciiTheme="minorHAnsi" w:eastAsia="Calibri" w:hAnsiTheme="minorHAnsi" w:cstheme="minorHAnsi"/>
      <w:sz w:val="22"/>
      <w:szCs w:val="22"/>
      <w:lang w:eastAsia="en-GB"/>
    </w:rPr>
  </w:style>
  <w:style w:type="paragraph" w:customStyle="1" w:styleId="Default">
    <w:name w:val="Default"/>
    <w:rsid w:val="008978D6"/>
    <w:pPr>
      <w:autoSpaceDE w:val="0"/>
      <w:autoSpaceDN w:val="0"/>
      <w:adjustRightInd w:val="0"/>
    </w:pPr>
    <w:rPr>
      <w:rFonts w:ascii="Futura ND Light" w:hAnsi="Futura ND Light" w:cs="Futura ND Light"/>
      <w:color w:val="000000"/>
      <w:sz w:val="24"/>
      <w:szCs w:val="24"/>
    </w:rPr>
  </w:style>
  <w:style w:type="table" w:styleId="TableGrid">
    <w:name w:val="Table Grid"/>
    <w:aliases w:val="BBC Table Blue Top Row,SBS Table Blue Top Row,SBS Simple,Table Grid Sheffield"/>
    <w:basedOn w:val="TableNormal"/>
    <w:uiPriority w:val="39"/>
    <w:rsid w:val="00BA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177593"/>
    <w:pPr>
      <w:spacing w:before="120" w:after="120"/>
      <w:jc w:val="center"/>
    </w:pPr>
    <w:rPr>
      <w:color w:val="FFFFFF" w:themeColor="background1"/>
      <w:sz w:val="52"/>
      <w:szCs w:val="52"/>
      <w:lang w:eastAsia="en-GB"/>
    </w:rPr>
  </w:style>
  <w:style w:type="paragraph" w:customStyle="1" w:styleId="Title2">
    <w:name w:val="Title 2"/>
    <w:basedOn w:val="Title1"/>
    <w:next w:val="Normal"/>
    <w:rsid w:val="00177593"/>
    <w:rPr>
      <w:color w:val="595959" w:themeColor="text1" w:themeTint="A6"/>
      <w:sz w:val="36"/>
      <w:szCs w:val="36"/>
    </w:rPr>
  </w:style>
  <w:style w:type="paragraph" w:customStyle="1" w:styleId="TableHeaderSmall">
    <w:name w:val="Table Header Small"/>
    <w:basedOn w:val="TableHeader"/>
    <w:qFormat/>
    <w:rsid w:val="00177593"/>
    <w:pPr>
      <w:spacing w:before="0"/>
    </w:pPr>
    <w:rPr>
      <w:bCs/>
      <w:sz w:val="18"/>
    </w:rPr>
  </w:style>
  <w:style w:type="paragraph" w:customStyle="1" w:styleId="TableEntrySmall">
    <w:name w:val="Table Entry Small"/>
    <w:basedOn w:val="Normal"/>
    <w:qFormat/>
    <w:rsid w:val="00177593"/>
    <w:pPr>
      <w:spacing w:before="20" w:after="20"/>
      <w:jc w:val="left"/>
    </w:pPr>
    <w:rPr>
      <w:rFonts w:ascii="Calibri" w:hAnsi="Calibri" w:cs="Times New Roman"/>
      <w:sz w:val="18"/>
      <w:szCs w:val="22"/>
      <w:lang w:eastAsia="en-GB"/>
    </w:rPr>
  </w:style>
  <w:style w:type="table" w:customStyle="1" w:styleId="LightList1">
    <w:name w:val="Light List1"/>
    <w:basedOn w:val="TableNormal"/>
    <w:uiPriority w:val="61"/>
    <w:rsid w:val="00177593"/>
    <w:rPr>
      <w:rFonts w:ascii="Tahoma" w:hAnsi="Tahom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shd w:val="clear" w:color="auto" w:fill="BFBFB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F2F2F2" w:themeFill="background1" w:themeFillShade="F2"/>
      </w:tcPr>
    </w:tblStylePr>
  </w:style>
  <w:style w:type="paragraph" w:customStyle="1" w:styleId="Heading2NotinTOC">
    <w:name w:val="Heading 2 (Not in TOC)"/>
    <w:basedOn w:val="Heading2"/>
    <w:next w:val="Normal"/>
    <w:link w:val="Heading2NotinTOCChar"/>
    <w:qFormat/>
    <w:rsid w:val="002C7263"/>
    <w:pPr>
      <w:tabs>
        <w:tab w:val="clear" w:pos="900"/>
      </w:tabs>
      <w:spacing w:before="120" w:after="120"/>
      <w:jc w:val="left"/>
      <w:outlineLvl w:val="9"/>
    </w:pPr>
    <w:rPr>
      <w:rFonts w:cs="Tahoma"/>
      <w:b w:val="0"/>
      <w:sz w:val="24"/>
      <w:szCs w:val="24"/>
    </w:rPr>
  </w:style>
  <w:style w:type="character" w:customStyle="1" w:styleId="Heading2NotinTOCChar">
    <w:name w:val="Heading 2 (Not in TOC) Char"/>
    <w:basedOn w:val="DefaultParagraphFont"/>
    <w:link w:val="Heading2NotinTOC"/>
    <w:rsid w:val="002C7263"/>
    <w:rPr>
      <w:rFonts w:ascii="Arial" w:hAnsi="Arial" w:cs="Tahoma"/>
      <w:color w:val="C17529" w:themeColor="accent6"/>
      <w:sz w:val="24"/>
      <w:szCs w:val="24"/>
      <w:u w:val="single"/>
      <w:lang w:eastAsia="en-US"/>
    </w:rPr>
  </w:style>
  <w:style w:type="paragraph" w:customStyle="1" w:styleId="TableHeader">
    <w:name w:val="Table Header"/>
    <w:basedOn w:val="Normal"/>
    <w:qFormat/>
    <w:rsid w:val="00177593"/>
    <w:pPr>
      <w:keepNext/>
      <w:spacing w:before="60"/>
      <w:jc w:val="left"/>
    </w:pPr>
    <w:rPr>
      <w:rFonts w:ascii="Calibri" w:hAnsi="Calibri" w:cs="Times New Roman"/>
      <w:b/>
      <w:color w:val="FFFFFF" w:themeColor="background1"/>
      <w:sz w:val="22"/>
      <w:szCs w:val="18"/>
      <w:lang w:eastAsia="en-GB"/>
    </w:rPr>
  </w:style>
  <w:style w:type="paragraph" w:styleId="TOC1">
    <w:name w:val="toc 1"/>
    <w:basedOn w:val="Normal"/>
    <w:next w:val="Normal"/>
    <w:autoRedefine/>
    <w:uiPriority w:val="39"/>
    <w:unhideWhenUsed/>
    <w:rsid w:val="009013F5"/>
    <w:pPr>
      <w:tabs>
        <w:tab w:val="left" w:pos="567"/>
        <w:tab w:val="right" w:leader="dot" w:pos="9016"/>
      </w:tabs>
      <w:spacing w:before="120" w:after="120"/>
      <w:jc w:val="left"/>
    </w:pPr>
    <w:rPr>
      <w:rFonts w:eastAsia="Calibri" w:cs="Times New Roman"/>
      <w:b/>
      <w:sz w:val="22"/>
      <w:szCs w:val="22"/>
    </w:rPr>
  </w:style>
  <w:style w:type="paragraph" w:styleId="TOC2">
    <w:name w:val="toc 2"/>
    <w:basedOn w:val="Normal"/>
    <w:next w:val="Normal"/>
    <w:autoRedefine/>
    <w:uiPriority w:val="39"/>
    <w:unhideWhenUsed/>
    <w:rsid w:val="00921D05"/>
    <w:pPr>
      <w:ind w:left="567"/>
      <w:jc w:val="left"/>
    </w:pPr>
    <w:rPr>
      <w:rFonts w:eastAsia="Calibri" w:cs="Times New Roman"/>
      <w:sz w:val="22"/>
      <w:szCs w:val="22"/>
    </w:rPr>
  </w:style>
  <w:style w:type="paragraph" w:styleId="BodyText">
    <w:name w:val="Body Text"/>
    <w:basedOn w:val="Normal"/>
    <w:link w:val="BodyTextChar"/>
    <w:unhideWhenUsed/>
    <w:rsid w:val="00921D05"/>
    <w:pPr>
      <w:spacing w:before="120" w:after="120"/>
      <w:jc w:val="left"/>
    </w:pPr>
    <w:rPr>
      <w:rFonts w:eastAsia="Calibri" w:cs="Times New Roman"/>
      <w:sz w:val="22"/>
      <w:szCs w:val="22"/>
    </w:rPr>
  </w:style>
  <w:style w:type="character" w:customStyle="1" w:styleId="BodyTextChar">
    <w:name w:val="Body Text Char"/>
    <w:basedOn w:val="DefaultParagraphFont"/>
    <w:link w:val="BodyText"/>
    <w:rsid w:val="00921D05"/>
    <w:rPr>
      <w:rFonts w:ascii="Arial" w:eastAsia="Calibri" w:hAnsi="Arial"/>
      <w:sz w:val="22"/>
      <w:szCs w:val="22"/>
      <w:lang w:eastAsia="en-US"/>
    </w:rPr>
  </w:style>
  <w:style w:type="paragraph" w:styleId="BodyText2">
    <w:name w:val="Body Text 2"/>
    <w:basedOn w:val="Normal"/>
    <w:link w:val="BodyText2Char"/>
    <w:uiPriority w:val="99"/>
    <w:semiHidden/>
    <w:unhideWhenUsed/>
    <w:rsid w:val="00921D05"/>
    <w:pPr>
      <w:spacing w:before="120" w:after="120" w:line="480" w:lineRule="auto"/>
      <w:jc w:val="left"/>
    </w:pPr>
    <w:rPr>
      <w:rFonts w:eastAsia="Calibri" w:cs="Times New Roman"/>
      <w:sz w:val="22"/>
      <w:szCs w:val="22"/>
    </w:rPr>
  </w:style>
  <w:style w:type="character" w:customStyle="1" w:styleId="BodyText2Char">
    <w:name w:val="Body Text 2 Char"/>
    <w:basedOn w:val="DefaultParagraphFont"/>
    <w:link w:val="BodyText2"/>
    <w:uiPriority w:val="99"/>
    <w:semiHidden/>
    <w:rsid w:val="00921D05"/>
    <w:rPr>
      <w:rFonts w:ascii="Arial" w:eastAsia="Calibri" w:hAnsi="Arial"/>
      <w:sz w:val="22"/>
      <w:szCs w:val="22"/>
      <w:lang w:eastAsia="en-US"/>
    </w:rPr>
  </w:style>
  <w:style w:type="paragraph" w:customStyle="1" w:styleId="HeadingMisc">
    <w:name w:val="Heading Misc"/>
    <w:basedOn w:val="Heading1"/>
    <w:next w:val="Normal"/>
    <w:rsid w:val="00921D05"/>
    <w:pPr>
      <w:keepNext w:val="0"/>
      <w:pageBreakBefore/>
      <w:pBdr>
        <w:bottom w:val="single" w:sz="8" w:space="1" w:color="518DD4"/>
      </w:pBdr>
      <w:spacing w:before="120" w:after="120"/>
      <w:jc w:val="left"/>
    </w:pPr>
    <w:rPr>
      <w:rFonts w:eastAsia="Calibri" w:cs="Times New Roman"/>
      <w:color w:val="0074C8"/>
      <w:szCs w:val="44"/>
    </w:rPr>
  </w:style>
  <w:style w:type="character" w:customStyle="1" w:styleId="Heading4Char">
    <w:name w:val="Heading 4 Char"/>
    <w:basedOn w:val="DefaultParagraphFont"/>
    <w:link w:val="Heading4"/>
    <w:uiPriority w:val="9"/>
    <w:rsid w:val="005C6B1F"/>
    <w:rPr>
      <w:rFonts w:asciiTheme="minorHAnsi" w:eastAsiaTheme="majorEastAsia" w:hAnsiTheme="minorHAnsi" w:cstheme="majorBidi"/>
      <w:b/>
      <w:iCs/>
      <w:color w:val="000000" w:themeColor="text1"/>
      <w:sz w:val="21"/>
      <w:szCs w:val="21"/>
      <w:lang w:eastAsia="en-US"/>
    </w:rPr>
  </w:style>
  <w:style w:type="character" w:customStyle="1" w:styleId="Heading5Char">
    <w:name w:val="Heading 5 Char"/>
    <w:basedOn w:val="DefaultParagraphFont"/>
    <w:link w:val="Heading5"/>
    <w:rsid w:val="009013F5"/>
    <w:rPr>
      <w:rFonts w:asciiTheme="majorHAnsi" w:eastAsiaTheme="majorEastAsia" w:hAnsiTheme="majorHAnsi" w:cstheme="majorBidi"/>
      <w:color w:val="C77C0E" w:themeColor="accent1" w:themeShade="BF"/>
      <w:sz w:val="21"/>
      <w:szCs w:val="21"/>
      <w:lang w:eastAsia="en-US"/>
    </w:rPr>
  </w:style>
  <w:style w:type="character" w:customStyle="1" w:styleId="Heading6Char">
    <w:name w:val="Heading 6 Char"/>
    <w:aliases w:val="Blank 2 Char,b Char,H6 DO NOT USE Char"/>
    <w:basedOn w:val="DefaultParagraphFont"/>
    <w:link w:val="Heading6"/>
    <w:uiPriority w:val="9"/>
    <w:rsid w:val="009013F5"/>
    <w:rPr>
      <w:rFonts w:asciiTheme="majorHAnsi" w:eastAsiaTheme="majorEastAsia" w:hAnsiTheme="majorHAnsi" w:cstheme="majorBidi"/>
      <w:color w:val="845209" w:themeColor="accent1" w:themeShade="7F"/>
      <w:sz w:val="21"/>
      <w:szCs w:val="21"/>
      <w:lang w:eastAsia="en-US"/>
    </w:rPr>
  </w:style>
  <w:style w:type="character" w:customStyle="1" w:styleId="Heading8Char">
    <w:name w:val="Heading 8 Char"/>
    <w:basedOn w:val="DefaultParagraphFont"/>
    <w:link w:val="Heading8"/>
    <w:rsid w:val="009013F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9013F5"/>
    <w:rPr>
      <w:rFonts w:asciiTheme="majorHAnsi" w:eastAsiaTheme="majorEastAsia" w:hAnsiTheme="majorHAnsi" w:cstheme="majorBidi"/>
      <w:i/>
      <w:iCs/>
      <w:color w:val="272727" w:themeColor="text1" w:themeTint="D8"/>
      <w:sz w:val="21"/>
      <w:szCs w:val="21"/>
      <w:lang w:eastAsia="en-US"/>
    </w:rPr>
  </w:style>
  <w:style w:type="paragraph" w:customStyle="1" w:styleId="Appendix">
    <w:name w:val="Appendix"/>
    <w:basedOn w:val="Heading1"/>
    <w:link w:val="AppendixChar"/>
    <w:qFormat/>
    <w:rsid w:val="00F03143"/>
    <w:rPr>
      <w:rFonts w:ascii="Futura ND Book" w:hAnsi="Futura ND Book"/>
    </w:rPr>
  </w:style>
  <w:style w:type="character" w:customStyle="1" w:styleId="Heading1Char">
    <w:name w:val="Heading 1 Char"/>
    <w:aliases w:val="Secondary  Headings Char,ch Char,MIGHeading 1 Char,ch1 Char,Propo Char,PARA1 Char,H1 Char,Section Title Char,l1 Char,1 Char,Part Char,Section Char,Section... Char,Section1 Char,Section2 Char,Section11 Char,ctf3451 Char,jj Char,margin Char"/>
    <w:basedOn w:val="DefaultParagraphFont"/>
    <w:link w:val="Heading1"/>
    <w:rsid w:val="00A06607"/>
    <w:rPr>
      <w:rFonts w:ascii="Arial" w:hAnsi="Arial" w:cs="Arial"/>
      <w:b/>
      <w:color w:val="C17529" w:themeColor="accent6"/>
      <w:sz w:val="44"/>
      <w:szCs w:val="21"/>
      <w:lang w:eastAsia="en-US"/>
    </w:rPr>
  </w:style>
  <w:style w:type="character" w:customStyle="1" w:styleId="AppendixChar">
    <w:name w:val="Appendix Char"/>
    <w:basedOn w:val="Heading1Char"/>
    <w:link w:val="Appendix"/>
    <w:rsid w:val="00F03143"/>
    <w:rPr>
      <w:rFonts w:ascii="Futura ND Book" w:hAnsi="Futura ND Book" w:cs="Arial"/>
      <w:b/>
      <w:color w:val="C17529" w:themeColor="accent6"/>
      <w:sz w:val="44"/>
      <w:szCs w:val="21"/>
      <w:lang w:eastAsia="en-US"/>
    </w:rPr>
  </w:style>
  <w:style w:type="character" w:customStyle="1" w:styleId="FooterChar">
    <w:name w:val="Footer Char"/>
    <w:basedOn w:val="DefaultParagraphFont"/>
    <w:link w:val="Footer"/>
    <w:uiPriority w:val="99"/>
    <w:rsid w:val="00470680"/>
    <w:rPr>
      <w:rFonts w:ascii="Arial" w:hAnsi="Arial" w:cs="Arial"/>
      <w:sz w:val="21"/>
      <w:szCs w:val="21"/>
      <w:lang w:eastAsia="en-US"/>
    </w:rPr>
  </w:style>
  <w:style w:type="character" w:styleId="CommentReference">
    <w:name w:val="annotation reference"/>
    <w:basedOn w:val="DefaultParagraphFont"/>
    <w:uiPriority w:val="99"/>
    <w:semiHidden/>
    <w:unhideWhenUsed/>
    <w:rsid w:val="00CD598E"/>
    <w:rPr>
      <w:sz w:val="16"/>
      <w:szCs w:val="16"/>
    </w:rPr>
  </w:style>
  <w:style w:type="paragraph" w:styleId="CommentText">
    <w:name w:val="annotation text"/>
    <w:basedOn w:val="Normal"/>
    <w:link w:val="CommentTextChar"/>
    <w:uiPriority w:val="99"/>
    <w:semiHidden/>
    <w:unhideWhenUsed/>
    <w:rsid w:val="00CD598E"/>
    <w:rPr>
      <w:sz w:val="20"/>
      <w:szCs w:val="20"/>
    </w:rPr>
  </w:style>
  <w:style w:type="character" w:customStyle="1" w:styleId="CommentTextChar">
    <w:name w:val="Comment Text Char"/>
    <w:basedOn w:val="DefaultParagraphFont"/>
    <w:link w:val="CommentText"/>
    <w:uiPriority w:val="99"/>
    <w:semiHidden/>
    <w:rsid w:val="00CD598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D598E"/>
    <w:rPr>
      <w:b/>
      <w:bCs/>
    </w:rPr>
  </w:style>
  <w:style w:type="character" w:customStyle="1" w:styleId="CommentSubjectChar">
    <w:name w:val="Comment Subject Char"/>
    <w:basedOn w:val="CommentTextChar"/>
    <w:link w:val="CommentSubject"/>
    <w:uiPriority w:val="99"/>
    <w:semiHidden/>
    <w:rsid w:val="00CD598E"/>
    <w:rPr>
      <w:rFonts w:ascii="Arial" w:hAnsi="Arial" w:cs="Arial"/>
      <w:b/>
      <w:bCs/>
      <w:lang w:eastAsia="en-US"/>
    </w:rPr>
  </w:style>
  <w:style w:type="paragraph" w:styleId="ListBullet">
    <w:name w:val="List Bullet"/>
    <w:basedOn w:val="Normal"/>
    <w:qFormat/>
    <w:rsid w:val="00880F96"/>
    <w:pPr>
      <w:numPr>
        <w:numId w:val="3"/>
      </w:numPr>
      <w:spacing w:before="60" w:after="120"/>
      <w:jc w:val="left"/>
    </w:pPr>
    <w:rPr>
      <w:rFonts w:ascii="Calibri" w:hAnsi="Calibri" w:cs="Times New Roman"/>
      <w:sz w:val="22"/>
      <w:szCs w:val="20"/>
    </w:rPr>
  </w:style>
  <w:style w:type="paragraph" w:styleId="Revision">
    <w:name w:val="Revision"/>
    <w:hidden/>
    <w:uiPriority w:val="99"/>
    <w:semiHidden/>
    <w:rsid w:val="00FB24A6"/>
    <w:rPr>
      <w:rFonts w:ascii="Arial" w:hAnsi="Arial" w:cs="Arial"/>
      <w:sz w:val="21"/>
      <w:szCs w:val="21"/>
      <w:lang w:eastAsia="en-US"/>
    </w:rPr>
  </w:style>
  <w:style w:type="paragraph" w:styleId="TOCHeading">
    <w:name w:val="TOC Heading"/>
    <w:basedOn w:val="Heading1"/>
    <w:next w:val="Normal"/>
    <w:uiPriority w:val="39"/>
    <w:unhideWhenUsed/>
    <w:qFormat/>
    <w:rsid w:val="001375B1"/>
    <w:pPr>
      <w:keepLines/>
      <w:numPr>
        <w:numId w:val="0"/>
      </w:numPr>
      <w:spacing w:before="240" w:line="259" w:lineRule="auto"/>
      <w:jc w:val="left"/>
      <w:outlineLvl w:val="9"/>
    </w:pPr>
    <w:rPr>
      <w:rFonts w:asciiTheme="majorHAnsi" w:eastAsiaTheme="majorEastAsia" w:hAnsiTheme="majorHAnsi" w:cstheme="majorBidi"/>
      <w:b w:val="0"/>
      <w:color w:val="C77C0E" w:themeColor="accent1" w:themeShade="BF"/>
      <w:sz w:val="32"/>
      <w:szCs w:val="32"/>
      <w:lang w:val="en-US"/>
    </w:rPr>
  </w:style>
  <w:style w:type="paragraph" w:styleId="TOC3">
    <w:name w:val="toc 3"/>
    <w:basedOn w:val="Normal"/>
    <w:next w:val="Normal"/>
    <w:autoRedefine/>
    <w:uiPriority w:val="39"/>
    <w:unhideWhenUsed/>
    <w:rsid w:val="001375B1"/>
    <w:pPr>
      <w:spacing w:after="100"/>
      <w:ind w:left="420"/>
    </w:pPr>
  </w:style>
  <w:style w:type="character" w:styleId="UnresolvedMention">
    <w:name w:val="Unresolved Mention"/>
    <w:basedOn w:val="DefaultParagraphFont"/>
    <w:uiPriority w:val="99"/>
    <w:semiHidden/>
    <w:unhideWhenUsed/>
    <w:rsid w:val="00A12533"/>
    <w:rPr>
      <w:color w:val="605E5C"/>
      <w:shd w:val="clear" w:color="auto" w:fill="E1DFDD"/>
    </w:rPr>
  </w:style>
  <w:style w:type="paragraph" w:styleId="TOC4">
    <w:name w:val="toc 4"/>
    <w:basedOn w:val="Normal"/>
    <w:next w:val="Normal"/>
    <w:autoRedefine/>
    <w:uiPriority w:val="39"/>
    <w:unhideWhenUsed/>
    <w:rsid w:val="00131968"/>
    <w:pPr>
      <w:spacing w:after="100" w:line="259"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131968"/>
    <w:pPr>
      <w:spacing w:after="100" w:line="259"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131968"/>
    <w:pPr>
      <w:spacing w:after="100" w:line="259"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131968"/>
    <w:pPr>
      <w:spacing w:after="100" w:line="259"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31968"/>
    <w:pPr>
      <w:spacing w:after="100" w:line="259"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31968"/>
    <w:pPr>
      <w:spacing w:after="100" w:line="259" w:lineRule="auto"/>
      <w:ind w:left="1760"/>
      <w:jc w:val="left"/>
    </w:pPr>
    <w:rPr>
      <w:rFonts w:asciiTheme="minorHAnsi" w:eastAsiaTheme="minorEastAsia" w:hAnsiTheme="minorHAnsi" w:cstheme="minorBidi"/>
      <w:sz w:val="22"/>
      <w:szCs w:val="22"/>
      <w:lang w:eastAsia="en-GB"/>
    </w:rPr>
  </w:style>
  <w:style w:type="paragraph" w:styleId="Caption">
    <w:name w:val="caption"/>
    <w:basedOn w:val="Normal"/>
    <w:next w:val="Normal"/>
    <w:uiPriority w:val="99"/>
    <w:rsid w:val="00293923"/>
    <w:pPr>
      <w:keepLines/>
      <w:spacing w:before="120" w:after="120"/>
      <w:jc w:val="center"/>
    </w:pPr>
    <w:rPr>
      <w:rFonts w:ascii="Tahoma" w:hAnsi="Tahoma" w:cs="Times New Roman"/>
      <w:b/>
      <w:sz w:val="16"/>
      <w:szCs w:val="20"/>
      <w:u w:val="single"/>
    </w:rPr>
  </w:style>
  <w:style w:type="character" w:customStyle="1" w:styleId="ListParagraphChar">
    <w:name w:val="List Paragraph Char"/>
    <w:basedOn w:val="DefaultParagraphFont"/>
    <w:link w:val="ListParagraph"/>
    <w:uiPriority w:val="34"/>
    <w:rsid w:val="00293923"/>
    <w:rPr>
      <w:rFonts w:asciiTheme="minorHAnsi" w:eastAsia="Calibri" w:hAnsiTheme="minorHAnsi" w:cstheme="minorHAnsi"/>
      <w:sz w:val="22"/>
      <w:szCs w:val="22"/>
    </w:rPr>
  </w:style>
  <w:style w:type="paragraph" w:styleId="Title">
    <w:name w:val="Title"/>
    <w:basedOn w:val="Normal"/>
    <w:next w:val="Normal"/>
    <w:link w:val="TitleChar"/>
    <w:uiPriority w:val="10"/>
    <w:qFormat/>
    <w:rsid w:val="00280011"/>
    <w:pPr>
      <w:contextualSpacing/>
      <w:jc w:val="left"/>
    </w:pPr>
    <w:rPr>
      <w:rFonts w:asciiTheme="majorHAnsi" w:eastAsiaTheme="majorEastAsia" w:hAnsiTheme="majorHAnsi" w:cstheme="majorBidi"/>
      <w:color w:val="F0A22E" w:themeColor="accent1"/>
      <w:spacing w:val="-10"/>
      <w:sz w:val="56"/>
      <w:szCs w:val="56"/>
      <w:lang w:val="en-US" w:eastAsia="ja-JP"/>
    </w:rPr>
  </w:style>
  <w:style w:type="character" w:customStyle="1" w:styleId="TitleChar">
    <w:name w:val="Title Char"/>
    <w:basedOn w:val="DefaultParagraphFont"/>
    <w:link w:val="Title"/>
    <w:uiPriority w:val="10"/>
    <w:rsid w:val="00280011"/>
    <w:rPr>
      <w:rFonts w:asciiTheme="majorHAnsi" w:eastAsiaTheme="majorEastAsia" w:hAnsiTheme="majorHAnsi" w:cstheme="majorBidi"/>
      <w:color w:val="F0A22E" w:themeColor="accent1"/>
      <w:spacing w:val="-10"/>
      <w:sz w:val="56"/>
      <w:szCs w:val="56"/>
      <w:lang w:val="en-US" w:eastAsia="ja-JP"/>
    </w:rPr>
  </w:style>
  <w:style w:type="paragraph" w:styleId="NormalWeb">
    <w:name w:val="Normal (Web)"/>
    <w:basedOn w:val="Normal"/>
    <w:uiPriority w:val="99"/>
    <w:semiHidden/>
    <w:unhideWhenUsed/>
    <w:rsid w:val="004C545B"/>
    <w:pPr>
      <w:spacing w:before="100" w:beforeAutospacing="1" w:after="100" w:afterAutospacing="1"/>
      <w:jc w:val="left"/>
    </w:pPr>
    <w:rPr>
      <w:rFonts w:ascii="Times New Roman" w:hAnsi="Times New Roman" w:cs="Times New Roman"/>
      <w:sz w:val="24"/>
      <w:szCs w:val="24"/>
      <w:lang w:eastAsia="en-GB"/>
    </w:rPr>
  </w:style>
  <w:style w:type="character" w:styleId="Emphasis">
    <w:name w:val="Emphasis"/>
    <w:basedOn w:val="DefaultParagraphFont"/>
    <w:uiPriority w:val="20"/>
    <w:qFormat/>
    <w:rsid w:val="004C545B"/>
    <w:rPr>
      <w:i/>
      <w:iCs/>
    </w:rPr>
  </w:style>
  <w:style w:type="paragraph" w:styleId="NoSpacing">
    <w:name w:val="No Spacing"/>
    <w:uiPriority w:val="1"/>
    <w:qFormat/>
    <w:rsid w:val="001A50B2"/>
    <w:pPr>
      <w:jc w:val="both"/>
    </w:pPr>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460">
      <w:bodyDiv w:val="1"/>
      <w:marLeft w:val="0"/>
      <w:marRight w:val="0"/>
      <w:marTop w:val="0"/>
      <w:marBottom w:val="0"/>
      <w:divBdr>
        <w:top w:val="none" w:sz="0" w:space="0" w:color="auto"/>
        <w:left w:val="none" w:sz="0" w:space="0" w:color="auto"/>
        <w:bottom w:val="none" w:sz="0" w:space="0" w:color="auto"/>
        <w:right w:val="none" w:sz="0" w:space="0" w:color="auto"/>
      </w:divBdr>
    </w:div>
    <w:div w:id="41759303">
      <w:bodyDiv w:val="1"/>
      <w:marLeft w:val="0"/>
      <w:marRight w:val="0"/>
      <w:marTop w:val="0"/>
      <w:marBottom w:val="0"/>
      <w:divBdr>
        <w:top w:val="none" w:sz="0" w:space="0" w:color="auto"/>
        <w:left w:val="none" w:sz="0" w:space="0" w:color="auto"/>
        <w:bottom w:val="none" w:sz="0" w:space="0" w:color="auto"/>
        <w:right w:val="none" w:sz="0" w:space="0" w:color="auto"/>
      </w:divBdr>
    </w:div>
    <w:div w:id="120921305">
      <w:bodyDiv w:val="1"/>
      <w:marLeft w:val="0"/>
      <w:marRight w:val="0"/>
      <w:marTop w:val="0"/>
      <w:marBottom w:val="0"/>
      <w:divBdr>
        <w:top w:val="none" w:sz="0" w:space="0" w:color="auto"/>
        <w:left w:val="none" w:sz="0" w:space="0" w:color="auto"/>
        <w:bottom w:val="none" w:sz="0" w:space="0" w:color="auto"/>
        <w:right w:val="none" w:sz="0" w:space="0" w:color="auto"/>
      </w:divBdr>
    </w:div>
    <w:div w:id="394937628">
      <w:bodyDiv w:val="1"/>
      <w:marLeft w:val="0"/>
      <w:marRight w:val="0"/>
      <w:marTop w:val="0"/>
      <w:marBottom w:val="0"/>
      <w:divBdr>
        <w:top w:val="none" w:sz="0" w:space="0" w:color="auto"/>
        <w:left w:val="none" w:sz="0" w:space="0" w:color="auto"/>
        <w:bottom w:val="none" w:sz="0" w:space="0" w:color="auto"/>
        <w:right w:val="none" w:sz="0" w:space="0" w:color="auto"/>
      </w:divBdr>
    </w:div>
    <w:div w:id="736123379">
      <w:bodyDiv w:val="1"/>
      <w:marLeft w:val="0"/>
      <w:marRight w:val="0"/>
      <w:marTop w:val="0"/>
      <w:marBottom w:val="0"/>
      <w:divBdr>
        <w:top w:val="none" w:sz="0" w:space="0" w:color="auto"/>
        <w:left w:val="none" w:sz="0" w:space="0" w:color="auto"/>
        <w:bottom w:val="none" w:sz="0" w:space="0" w:color="auto"/>
        <w:right w:val="none" w:sz="0" w:space="0" w:color="auto"/>
      </w:divBdr>
    </w:div>
    <w:div w:id="740565777">
      <w:bodyDiv w:val="1"/>
      <w:marLeft w:val="0"/>
      <w:marRight w:val="0"/>
      <w:marTop w:val="0"/>
      <w:marBottom w:val="0"/>
      <w:divBdr>
        <w:top w:val="none" w:sz="0" w:space="0" w:color="auto"/>
        <w:left w:val="none" w:sz="0" w:space="0" w:color="auto"/>
        <w:bottom w:val="none" w:sz="0" w:space="0" w:color="auto"/>
        <w:right w:val="none" w:sz="0" w:space="0" w:color="auto"/>
      </w:divBdr>
    </w:div>
    <w:div w:id="820467052">
      <w:bodyDiv w:val="1"/>
      <w:marLeft w:val="0"/>
      <w:marRight w:val="0"/>
      <w:marTop w:val="0"/>
      <w:marBottom w:val="0"/>
      <w:divBdr>
        <w:top w:val="none" w:sz="0" w:space="0" w:color="auto"/>
        <w:left w:val="none" w:sz="0" w:space="0" w:color="auto"/>
        <w:bottom w:val="none" w:sz="0" w:space="0" w:color="auto"/>
        <w:right w:val="none" w:sz="0" w:space="0" w:color="auto"/>
      </w:divBdr>
    </w:div>
    <w:div w:id="859121542">
      <w:bodyDiv w:val="1"/>
      <w:marLeft w:val="0"/>
      <w:marRight w:val="0"/>
      <w:marTop w:val="0"/>
      <w:marBottom w:val="0"/>
      <w:divBdr>
        <w:top w:val="none" w:sz="0" w:space="0" w:color="auto"/>
        <w:left w:val="none" w:sz="0" w:space="0" w:color="auto"/>
        <w:bottom w:val="none" w:sz="0" w:space="0" w:color="auto"/>
        <w:right w:val="none" w:sz="0" w:space="0" w:color="auto"/>
      </w:divBdr>
    </w:div>
    <w:div w:id="942810097">
      <w:bodyDiv w:val="1"/>
      <w:marLeft w:val="0"/>
      <w:marRight w:val="0"/>
      <w:marTop w:val="0"/>
      <w:marBottom w:val="0"/>
      <w:divBdr>
        <w:top w:val="none" w:sz="0" w:space="0" w:color="auto"/>
        <w:left w:val="none" w:sz="0" w:space="0" w:color="auto"/>
        <w:bottom w:val="none" w:sz="0" w:space="0" w:color="auto"/>
        <w:right w:val="none" w:sz="0" w:space="0" w:color="auto"/>
      </w:divBdr>
    </w:div>
    <w:div w:id="977415075">
      <w:bodyDiv w:val="1"/>
      <w:marLeft w:val="0"/>
      <w:marRight w:val="0"/>
      <w:marTop w:val="0"/>
      <w:marBottom w:val="0"/>
      <w:divBdr>
        <w:top w:val="none" w:sz="0" w:space="0" w:color="auto"/>
        <w:left w:val="none" w:sz="0" w:space="0" w:color="auto"/>
        <w:bottom w:val="none" w:sz="0" w:space="0" w:color="auto"/>
        <w:right w:val="none" w:sz="0" w:space="0" w:color="auto"/>
      </w:divBdr>
    </w:div>
    <w:div w:id="1355765534">
      <w:bodyDiv w:val="1"/>
      <w:marLeft w:val="0"/>
      <w:marRight w:val="0"/>
      <w:marTop w:val="0"/>
      <w:marBottom w:val="0"/>
      <w:divBdr>
        <w:top w:val="none" w:sz="0" w:space="0" w:color="auto"/>
        <w:left w:val="none" w:sz="0" w:space="0" w:color="auto"/>
        <w:bottom w:val="none" w:sz="0" w:space="0" w:color="auto"/>
        <w:right w:val="none" w:sz="0" w:space="0" w:color="auto"/>
      </w:divBdr>
    </w:div>
    <w:div w:id="1451511191">
      <w:bodyDiv w:val="1"/>
      <w:marLeft w:val="0"/>
      <w:marRight w:val="0"/>
      <w:marTop w:val="0"/>
      <w:marBottom w:val="0"/>
      <w:divBdr>
        <w:top w:val="none" w:sz="0" w:space="0" w:color="auto"/>
        <w:left w:val="none" w:sz="0" w:space="0" w:color="auto"/>
        <w:bottom w:val="none" w:sz="0" w:space="0" w:color="auto"/>
        <w:right w:val="none" w:sz="0" w:space="0" w:color="auto"/>
      </w:divBdr>
    </w:div>
    <w:div w:id="1527910909">
      <w:bodyDiv w:val="1"/>
      <w:marLeft w:val="0"/>
      <w:marRight w:val="0"/>
      <w:marTop w:val="0"/>
      <w:marBottom w:val="0"/>
      <w:divBdr>
        <w:top w:val="none" w:sz="0" w:space="0" w:color="auto"/>
        <w:left w:val="none" w:sz="0" w:space="0" w:color="auto"/>
        <w:bottom w:val="none" w:sz="0" w:space="0" w:color="auto"/>
        <w:right w:val="none" w:sz="0" w:space="0" w:color="auto"/>
      </w:divBdr>
    </w:div>
    <w:div w:id="1544443849">
      <w:bodyDiv w:val="1"/>
      <w:marLeft w:val="0"/>
      <w:marRight w:val="0"/>
      <w:marTop w:val="0"/>
      <w:marBottom w:val="0"/>
      <w:divBdr>
        <w:top w:val="none" w:sz="0" w:space="0" w:color="auto"/>
        <w:left w:val="none" w:sz="0" w:space="0" w:color="auto"/>
        <w:bottom w:val="none" w:sz="0" w:space="0" w:color="auto"/>
        <w:right w:val="none" w:sz="0" w:space="0" w:color="auto"/>
      </w:divBdr>
    </w:div>
    <w:div w:id="1742676317">
      <w:bodyDiv w:val="1"/>
      <w:marLeft w:val="0"/>
      <w:marRight w:val="0"/>
      <w:marTop w:val="0"/>
      <w:marBottom w:val="0"/>
      <w:divBdr>
        <w:top w:val="none" w:sz="0" w:space="0" w:color="auto"/>
        <w:left w:val="none" w:sz="0" w:space="0" w:color="auto"/>
        <w:bottom w:val="none" w:sz="0" w:space="0" w:color="auto"/>
        <w:right w:val="none" w:sz="0" w:space="0" w:color="auto"/>
      </w:divBdr>
    </w:div>
    <w:div w:id="1880362635">
      <w:bodyDiv w:val="1"/>
      <w:marLeft w:val="0"/>
      <w:marRight w:val="0"/>
      <w:marTop w:val="0"/>
      <w:marBottom w:val="0"/>
      <w:divBdr>
        <w:top w:val="none" w:sz="0" w:space="0" w:color="auto"/>
        <w:left w:val="none" w:sz="0" w:space="0" w:color="auto"/>
        <w:bottom w:val="none" w:sz="0" w:space="0" w:color="auto"/>
        <w:right w:val="none" w:sz="0" w:space="0" w:color="auto"/>
      </w:divBdr>
    </w:div>
    <w:div w:id="1947887885">
      <w:bodyDiv w:val="1"/>
      <w:marLeft w:val="0"/>
      <w:marRight w:val="0"/>
      <w:marTop w:val="0"/>
      <w:marBottom w:val="0"/>
      <w:divBdr>
        <w:top w:val="none" w:sz="0" w:space="0" w:color="auto"/>
        <w:left w:val="none" w:sz="0" w:space="0" w:color="auto"/>
        <w:bottom w:val="none" w:sz="0" w:space="0" w:color="auto"/>
        <w:right w:val="none" w:sz="0" w:space="0" w:color="auto"/>
      </w:divBdr>
    </w:div>
    <w:div w:id="2011130062">
      <w:bodyDiv w:val="1"/>
      <w:marLeft w:val="0"/>
      <w:marRight w:val="0"/>
      <w:marTop w:val="0"/>
      <w:marBottom w:val="0"/>
      <w:divBdr>
        <w:top w:val="none" w:sz="0" w:space="0" w:color="auto"/>
        <w:left w:val="none" w:sz="0" w:space="0" w:color="auto"/>
        <w:bottom w:val="none" w:sz="0" w:space="0" w:color="auto"/>
        <w:right w:val="none" w:sz="0" w:space="0" w:color="auto"/>
      </w:divBdr>
    </w:div>
    <w:div w:id="21317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762D-3E12-4931-A4B8-58CE1D01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Links>
    <vt:vector size="18" baseType="variant">
      <vt:variant>
        <vt:i4>4915286</vt:i4>
      </vt:variant>
      <vt:variant>
        <vt:i4>1024</vt:i4>
      </vt:variant>
      <vt:variant>
        <vt:i4>1025</vt:i4>
      </vt:variant>
      <vt:variant>
        <vt:i4>1</vt:i4>
      </vt:variant>
      <vt:variant>
        <vt:lpwstr>Hammerson Logo Colour</vt:lpwstr>
      </vt:variant>
      <vt:variant>
        <vt:lpwstr/>
      </vt:variant>
      <vt:variant>
        <vt:i4>4063345</vt:i4>
      </vt:variant>
      <vt:variant>
        <vt:i4>1068</vt:i4>
      </vt:variant>
      <vt:variant>
        <vt:i4>1026</vt:i4>
      </vt:variant>
      <vt:variant>
        <vt:i4>1</vt:i4>
      </vt:variant>
      <vt:variant>
        <vt:lpwstr>HAM-TR</vt:lpwstr>
      </vt:variant>
      <vt:variant>
        <vt:lpwstr/>
      </vt:variant>
      <vt:variant>
        <vt:i4>458760</vt:i4>
      </vt:variant>
      <vt:variant>
        <vt:i4>-1</vt:i4>
      </vt:variant>
      <vt:variant>
        <vt:i4>2087</vt:i4>
      </vt:variant>
      <vt:variant>
        <vt:i4>1</vt:i4>
      </vt:variant>
      <vt:variant>
        <vt:lpwstr>Hammerson Roundel 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2020-10-15T11:11:00Z</dcterms:created>
  <dcterms:modified xsi:type="dcterms:W3CDTF">2021-07-28T14:00:00Z</dcterms:modified>
  <cp:category/>
</cp:coreProperties>
</file>